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伊犁州特克斯县政法委部门单位整体支出绩效自评报告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w:t>
      </w:r>
      <w:r>
        <w:rPr>
          <w:rFonts w:hint="eastAsia" w:hAnsi="宋体" w:eastAsia="仿宋_GB2312" w:cs="宋体"/>
          <w:kern w:val="0"/>
          <w:sz w:val="36"/>
          <w:szCs w:val="36"/>
        </w:rPr>
        <w:t>1年度）</w:t>
      </w:r>
      <w:bookmarkStart w:id="35" w:name="_GoBack"/>
      <w:bookmarkEnd w:id="35"/>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部门单位名称（公章）：中共特克斯县委员会政法委员会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4   月   25  日</w:t>
      </w:r>
    </w:p>
    <w:p>
      <w:pPr>
        <w:pStyle w:val="3"/>
        <w:spacing w:line="360" w:lineRule="auto"/>
        <w:rPr>
          <w:rFonts w:ascii="仿宋" w:hAnsi="仿宋" w:eastAsia="仿宋"/>
          <w:sz w:val="36"/>
          <w:szCs w:val="36"/>
        </w:rPr>
      </w:pPr>
      <w:bookmarkStart w:id="1" w:name="_Toc70450289"/>
      <w:r>
        <w:rPr>
          <w:rFonts w:hint="eastAsia" w:ascii="仿宋" w:hAnsi="仿宋" w:eastAsia="仿宋"/>
          <w:sz w:val="36"/>
          <w:szCs w:val="36"/>
        </w:rPr>
        <w:t>一、基本概况</w:t>
      </w:r>
      <w:bookmarkEnd w:id="1"/>
    </w:p>
    <w:p>
      <w:pPr>
        <w:pStyle w:val="12"/>
        <w:widowControl/>
        <w:spacing w:before="40" w:beforeAutospacing="0" w:after="0" w:afterAutospacing="0" w:line="520" w:lineRule="atLeast"/>
        <w:ind w:firstLine="520"/>
        <w:jc w:val="both"/>
        <w:rPr>
          <w:rFonts w:ascii="仿宋_GB2312" w:hAnsi="仿宋_GB2312" w:eastAsia="仿宋_GB2312" w:cs="仿宋_GB2312"/>
          <w:b/>
          <w:sz w:val="32"/>
          <w:szCs w:val="32"/>
        </w:rPr>
      </w:pPr>
      <w:r>
        <w:rPr>
          <w:rFonts w:hint="eastAsia" w:ascii="仿宋_GB2312" w:hAnsi="仿宋_GB2312" w:eastAsia="仿宋_GB2312" w:cs="仿宋_GB2312"/>
          <w:b/>
          <w:sz w:val="32"/>
          <w:szCs w:val="32"/>
        </w:rPr>
        <w:t>1、主要职能</w:t>
      </w:r>
      <w:bookmarkStart w:id="2" w:name="J1"/>
      <w:bookmarkEnd w:id="2"/>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一）在县委统一领导下，深入贯彻习近平新时代中国特色社会主义思想，深入贯彻党的路线方针政策和决策部署，统一政法各部门思想和行动，坚持党对政法工作的绝对领导，坚决维护党中央权威和集中统一领导。</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二）深入贯彻党中央决定和自治区、自治州及县委工作要求，对政法工作研究提出全局性部署，推进平安特克斯、法治特克斯建设，加强过硬队伍建设，深化智能化建设，坚决维护国家政治安全、确保社会大局稳定、促进社会公平正义、保障人民安居乐业。</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（三）了解掌握和分析研判政法工作情况动态，分析社会稳定形势，创新完善多部门参与的综治</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工作机制，协调推动预防、化解影响稳定的社会矛盾和风险，协调应对和处置重大突发事件，协调做好重点群体教育转化和服务管理。</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（四）加强对政法工作的督查，统筹协调社会治安综合治理、维护社会稳定、反邪教有关法律法规政策的实施工作。</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（五）组织做好政法领域调查研究，总结新经验，解决新问题，研究制定特克斯县政法工作的政策、措施，及时向县委提出可行性建议。</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（六）掌握分析政法舆情动态，指导协调政法部门媒体网络宣传工作，指导政法部门做好涉及政法工作的重大宣传工作。</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组织协调社会治安综合治理工作，推动各项措施的落实。</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（七）监督和支持政法各部门依法行使职权，指导和协调政法各部门密切配合，研究和协调重大、疑难案件，推进严格执法、公正司法。</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（八）组织研究政法改革中带有方向性、倾向性和普遍性的重大问题，深化政法改革。</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（九）指导推动政法系统党的建设和政法队伍建设，协助县委组织部门考察、管理政法部门的领导干部。</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（十）承办县委交办的其他任务。</w:t>
      </w:r>
    </w:p>
    <w:p>
      <w:pPr>
        <w:pStyle w:val="5"/>
        <w:spacing w:line="360" w:lineRule="auto"/>
        <w:ind w:firstLine="562" w:firstLineChars="200"/>
        <w:rPr>
          <w:rStyle w:val="16"/>
          <w:rFonts w:ascii="仿宋" w:hAnsi="仿宋" w:eastAsia="仿宋"/>
          <w:b/>
          <w:bCs/>
        </w:rPr>
      </w:pPr>
      <w:bookmarkStart w:id="3" w:name="_Toc70450292"/>
      <w:r>
        <w:rPr>
          <w:rStyle w:val="16"/>
          <w:rFonts w:hint="eastAsia" w:ascii="仿宋" w:hAnsi="仿宋" w:eastAsia="仿宋"/>
          <w:b/>
          <w:bCs/>
        </w:rPr>
        <w:t>2、机构人员构成</w:t>
      </w:r>
      <w:bookmarkEnd w:id="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中共特克斯县委员会政法委员会的预算包括：中共特克斯县委员会政法委员会本级预算及下属1家预算单位在内的汇总预算。</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中共特克斯县委员会政法委员会本级下设5个处室是：1、综合科、2、综合督导科3、网格化管理办公室、4、</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指导科、5、法学会。</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本</w:t>
      </w:r>
      <w:r>
        <w:rPr>
          <w:rStyle w:val="16"/>
          <w:rFonts w:hint="eastAsia" w:ascii="仿宋_GB2312" w:hAnsi="楷体" w:eastAsia="仿宋_GB2312"/>
          <w:b w:val="0"/>
          <w:spacing w:val="-4"/>
          <w:sz w:val="28"/>
          <w:szCs w:val="28"/>
          <w:lang w:val="en-US" w:eastAsia="zh-CN"/>
        </w:rPr>
        <w:t>单位</w:t>
      </w:r>
      <w:r>
        <w:rPr>
          <w:rStyle w:val="16"/>
          <w:rFonts w:hint="eastAsia" w:ascii="仿宋_GB2312" w:hAnsi="楷体" w:eastAsia="仿宋_GB2312"/>
          <w:b w:val="0"/>
          <w:spacing w:val="-4"/>
          <w:sz w:val="28"/>
          <w:szCs w:val="28"/>
        </w:rPr>
        <w:t>中，行政单位1家，事业单位1家。纳入中共特克斯县委员会政法委员会2021年预算编制范围的二级预算单位是：</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1、特克斯县网络安全和信息化工作委员会办公室</w:t>
      </w:r>
      <w:r>
        <w:rPr>
          <w:rStyle w:val="16"/>
          <w:rFonts w:hint="eastAsia" w:ascii="仿宋_GB2312" w:hAnsi="楷体" w:eastAsia="仿宋_GB2312"/>
          <w:b w:val="0"/>
          <w:spacing w:val="-4"/>
          <w:sz w:val="28"/>
          <w:szCs w:val="28"/>
          <w:lang w:eastAsia="zh-CN"/>
        </w:rPr>
        <w:t>。</w:t>
      </w:r>
    </w:p>
    <w:p>
      <w:pPr>
        <w:pStyle w:val="5"/>
        <w:spacing w:line="360" w:lineRule="auto"/>
        <w:ind w:firstLine="562" w:firstLineChars="200"/>
      </w:pPr>
      <w:bookmarkStart w:id="4" w:name="_Toc70450293"/>
      <w:r>
        <w:rPr>
          <w:rStyle w:val="16"/>
          <w:rFonts w:ascii="仿宋" w:hAnsi="仿宋" w:eastAsia="仿宋"/>
          <w:b/>
          <w:bCs/>
        </w:rPr>
        <w:t>3</w:t>
      </w:r>
      <w:r>
        <w:rPr>
          <w:rStyle w:val="16"/>
          <w:rFonts w:hint="eastAsia" w:ascii="仿宋" w:hAnsi="仿宋" w:eastAsia="仿宋"/>
          <w:b/>
          <w:bCs/>
        </w:rPr>
        <w:t>、重点工作计划</w:t>
      </w:r>
      <w:bookmarkEnd w:id="4"/>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（1）、加强对政法工作的督查，统筹协调社会治安综合治理、维护社会稳定、反邪教有关法律法规政策的实施工作。</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组织做好政法领域调查研究，总结新经验，解决新问题，研究制定特克斯县政法工作的政策、措施，及时向县委提出可行性建议。</w:t>
      </w:r>
    </w:p>
    <w:p>
      <w:pPr>
        <w:spacing w:line="360" w:lineRule="auto"/>
        <w:ind w:firstLine="544" w:firstLineChars="200"/>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掌握分析政法舆情动态，指导协调政法部门媒体网络宣传工作，指导政法部门做好涉及政法工作的重大宣传工作。组织协调社会治安综合治理工作，推动各项措施的落实。</w:t>
      </w:r>
    </w:p>
    <w:p>
      <w:pPr>
        <w:pStyle w:val="4"/>
        <w:spacing w:line="360" w:lineRule="auto"/>
        <w:rPr>
          <w:rStyle w:val="16"/>
          <w:rFonts w:ascii="仿宋" w:hAnsi="仿宋" w:eastAsia="仿宋"/>
          <w:b/>
          <w:bCs/>
          <w:sz w:val="28"/>
          <w:szCs w:val="28"/>
        </w:rPr>
      </w:pPr>
      <w:bookmarkStart w:id="5" w:name="_Toc70450294"/>
      <w:r>
        <w:rPr>
          <w:rStyle w:val="16"/>
          <w:rFonts w:hint="eastAsia" w:ascii="仿宋" w:hAnsi="仿宋" w:eastAsia="仿宋"/>
          <w:b/>
          <w:bCs/>
          <w:sz w:val="28"/>
          <w:szCs w:val="28"/>
        </w:rPr>
        <w:t>（二）部门单位整体支出规模、</w:t>
      </w:r>
      <w:bookmarkStart w:id="6" w:name="_Hlk70339807"/>
      <w:r>
        <w:rPr>
          <w:rStyle w:val="16"/>
          <w:rFonts w:hint="eastAsia" w:ascii="仿宋" w:hAnsi="仿宋" w:eastAsia="仿宋"/>
          <w:b/>
          <w:bCs/>
          <w:sz w:val="28"/>
          <w:szCs w:val="28"/>
        </w:rPr>
        <w:t>使用方法和主要内容、涉及对象及范围</w:t>
      </w:r>
      <w:bookmarkEnd w:id="5"/>
    </w:p>
    <w:bookmarkEnd w:id="6"/>
    <w:p>
      <w:pPr>
        <w:pStyle w:val="5"/>
        <w:spacing w:line="360" w:lineRule="auto"/>
        <w:ind w:firstLine="562" w:firstLineChars="200"/>
        <w:rPr>
          <w:rStyle w:val="16"/>
          <w:rFonts w:ascii="仿宋" w:hAnsi="仿宋" w:eastAsia="仿宋"/>
          <w:b/>
          <w:bCs/>
        </w:rPr>
      </w:pPr>
      <w:bookmarkStart w:id="7" w:name="_Toc70450295"/>
      <w:r>
        <w:rPr>
          <w:rStyle w:val="16"/>
          <w:rFonts w:hint="eastAsia" w:ascii="仿宋" w:hAnsi="仿宋" w:eastAsia="仿宋"/>
          <w:b/>
          <w:bCs/>
        </w:rPr>
        <w:t>1、部门单位整体支出规模</w:t>
      </w:r>
      <w:bookmarkEnd w:id="7"/>
    </w:p>
    <w:p>
      <w:pPr>
        <w:pStyle w:val="5"/>
        <w:spacing w:line="360" w:lineRule="auto"/>
        <w:ind w:firstLine="544" w:firstLineChars="200"/>
        <w:rPr>
          <w:rStyle w:val="16"/>
          <w:rFonts w:hint="eastAsia" w:ascii="仿宋_GB2312" w:hAnsi="楷体" w:eastAsia="仿宋_GB2312" w:cstheme="minorBidi"/>
          <w:b w:val="0"/>
          <w:bCs/>
          <w:spacing w:val="-4"/>
          <w:kern w:val="2"/>
          <w:sz w:val="28"/>
          <w:szCs w:val="28"/>
          <w:lang w:val="en-US" w:eastAsia="zh-CN" w:bidi="ar-SA"/>
        </w:rPr>
      </w:pPr>
      <w:r>
        <w:rPr>
          <w:rStyle w:val="16"/>
          <w:rFonts w:hint="eastAsia" w:ascii="仿宋_GB2312" w:hAnsi="楷体" w:eastAsia="仿宋_GB2312" w:cstheme="minorBidi"/>
          <w:b w:val="0"/>
          <w:bCs/>
          <w:spacing w:val="-4"/>
          <w:kern w:val="2"/>
          <w:sz w:val="28"/>
          <w:szCs w:val="28"/>
          <w:lang w:val="en-US" w:eastAsia="zh-CN" w:bidi="ar-SA"/>
        </w:rPr>
        <w:t>2021年批复我单位预算为929.73万元，其中：财政拨款为929.73万元，年中追加资金517.24万元，调整率125.39%。对比上年362.27万元增加567.46万元，上升156.64%。</w:t>
      </w:r>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2021年实际决算支出929.73万元，执行率100%，其中：</w:t>
      </w:r>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 xml:space="preserve">（1）基本支出907.93万元，占总支出的97.66％，主要用于本单位机构正常运转、完成日常工作任务而发生的各项支出。其中：工资福利支出465.07万元，主要用于在职和离退休人员基本工资、津贴补贴等人员经费。商品和服务支出248.45万元，主要用于办公费、印刷费、水电费、办公设备购置等。对个人和家庭的补助165.87万元，主要用于对个人及家庭的生活补助。资本性支出28.54万元，主要用于YTH平台SDYV电子设备。  </w:t>
      </w:r>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2）项目支出21.8万元，占总支出的2.34%。其中：**双联户的补助项目是11.8万元。主要用于维护开展双联户创建工作，适应社会治理新要求的制度创新，是符合社会结构的历史选择，是建设平安特克斯县维护社会和谐稳定确保特克斯县长治久安，人民安居乐业。司法救助项目10万元，主要用于执行人确无执行能力而申请执行人又生活特别困难的执行案件，主要是支付人员生活补助。</w:t>
      </w:r>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（4）本年度我单位无政府采购预算。</w:t>
      </w:r>
    </w:p>
    <w:p>
      <w:pPr>
        <w:pStyle w:val="5"/>
        <w:spacing w:line="360" w:lineRule="auto"/>
        <w:ind w:firstLine="562" w:firstLineChars="200"/>
        <w:rPr>
          <w:rStyle w:val="16"/>
          <w:rFonts w:ascii="仿宋" w:hAnsi="仿宋" w:eastAsia="仿宋"/>
          <w:b/>
          <w:bCs/>
        </w:rPr>
      </w:pPr>
      <w:bookmarkStart w:id="8"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8"/>
    </w:p>
    <w:p>
      <w:pPr>
        <w:spacing w:line="560" w:lineRule="exact"/>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560" w:lineRule="exact"/>
        <w:ind w:firstLine="560" w:firstLineChars="200"/>
        <w:rPr>
          <w:rStyle w:val="16"/>
          <w:rFonts w:ascii="仿宋_GB2312" w:eastAsia="仿宋_GB2312" w:hAnsiTheme="minorEastAsia"/>
          <w:b w:val="0"/>
          <w:sz w:val="28"/>
          <w:szCs w:val="28"/>
        </w:rPr>
      </w:pPr>
      <w:r>
        <w:rPr>
          <w:rFonts w:hint="eastAsia" w:ascii="仿宋_GB2312" w:eastAsia="仿宋_GB2312"/>
          <w:bCs/>
          <w:sz w:val="28"/>
          <w:szCs w:val="28"/>
        </w:rPr>
        <w:t>本次项目支出绩效自评采用</w:t>
      </w:r>
      <w:r>
        <w:rPr>
          <w:rStyle w:val="16"/>
          <w:rFonts w:hint="eastAsia" w:ascii="仿宋_GB2312" w:eastAsia="仿宋_GB2312" w:hAnsiTheme="minorEastAsia"/>
          <w:b w:val="0"/>
          <w:sz w:val="28"/>
          <w:szCs w:val="28"/>
        </w:rPr>
        <w:t>综合指数评价法</w:t>
      </w:r>
      <w:r>
        <w:rPr>
          <w:rFonts w:hint="eastAsia" w:ascii="仿宋_GB2312" w:eastAsia="仿宋_GB2312"/>
          <w:bCs/>
          <w:sz w:val="28"/>
          <w:szCs w:val="28"/>
        </w:rPr>
        <w:t>，</w:t>
      </w:r>
      <w:r>
        <w:rPr>
          <w:rStyle w:val="16"/>
          <w:rFonts w:hint="eastAsia" w:ascii="仿宋_GB2312" w:eastAsia="仿宋_GB2312" w:hAnsiTheme="minorEastAsia"/>
          <w:b w:val="0"/>
          <w:sz w:val="28"/>
          <w:szCs w:val="28"/>
        </w:rPr>
        <w:t>原因是以上</w:t>
      </w:r>
      <w:r>
        <w:rPr>
          <w:rStyle w:val="16"/>
          <w:rFonts w:hint="eastAsia" w:ascii="仿宋_GB2312" w:eastAsia="仿宋_GB2312" w:hAnsiTheme="minorEastAsia"/>
          <w:b w:val="0"/>
          <w:sz w:val="28"/>
          <w:szCs w:val="28"/>
          <w:lang w:val="en-US" w:eastAsia="zh-CN"/>
        </w:rPr>
        <w:t>这种</w:t>
      </w:r>
      <w:r>
        <w:rPr>
          <w:rStyle w:val="16"/>
          <w:rFonts w:hint="eastAsia" w:ascii="仿宋_GB2312" w:eastAsia="仿宋_GB2312" w:hAnsiTheme="minorEastAsia"/>
          <w:b w:val="0"/>
          <w:sz w:val="28"/>
          <w:szCs w:val="28"/>
        </w:rPr>
        <w:t>方法可以确保各部门工作顺利开展，保障机关工作正常高效运转，提高工作人员能力，提高资金使用效益。</w:t>
      </w:r>
    </w:p>
    <w:p>
      <w:pPr>
        <w:spacing w:line="560" w:lineRule="exact"/>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1 \* GB3</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2 \* GB3</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3 \* GB3</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560" w:lineRule="exact"/>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4 \* GB3</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560" w:lineRule="exact"/>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560" w:lineRule="exact"/>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本次评价对象是中共特克斯县委员会办公室所有财政资金支出活动。</w:t>
      </w:r>
    </w:p>
    <w:p>
      <w:pPr>
        <w:spacing w:line="560" w:lineRule="exact"/>
        <w:ind w:firstLine="560" w:firstLineChars="200"/>
        <w:rPr>
          <w:rStyle w:val="16"/>
          <w:rFonts w:hint="eastAsia"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基本支出907.93万元，其中：工资福利支出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商品和服务支出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对个人和家庭的补助，资本性支出</w:t>
      </w:r>
      <w:r>
        <w:rPr>
          <w:rStyle w:val="16"/>
          <w:rFonts w:hint="eastAsia" w:ascii="仿宋_GB2312" w:hAnsi="楷体" w:eastAsia="仿宋_GB2312"/>
          <w:b w:val="0"/>
          <w:spacing w:val="-4"/>
          <w:sz w:val="28"/>
          <w:szCs w:val="28"/>
          <w:lang w:eastAsia="zh-CN"/>
        </w:rPr>
        <w:t>。</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项目支出21.8万元：其中：</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双联户的补助</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司法救助。</w:t>
      </w:r>
    </w:p>
    <w:p>
      <w:pPr>
        <w:pStyle w:val="3"/>
        <w:spacing w:line="360" w:lineRule="auto"/>
        <w:rPr>
          <w:rFonts w:ascii="仿宋" w:hAnsi="仿宋" w:eastAsia="仿宋"/>
          <w:sz w:val="36"/>
          <w:szCs w:val="36"/>
        </w:rPr>
      </w:pPr>
      <w:bookmarkStart w:id="9" w:name="_Toc70450297"/>
      <w:r>
        <w:rPr>
          <w:rFonts w:hint="eastAsia" w:ascii="仿宋" w:hAnsi="仿宋" w:eastAsia="仿宋"/>
          <w:sz w:val="36"/>
          <w:szCs w:val="36"/>
        </w:rPr>
        <w:t>二、部门单位整体支出管理及使用情况</w:t>
      </w:r>
      <w:bookmarkEnd w:id="9"/>
    </w:p>
    <w:p>
      <w:pPr>
        <w:pStyle w:val="4"/>
        <w:spacing w:line="360" w:lineRule="auto"/>
        <w:rPr>
          <w:rStyle w:val="16"/>
          <w:rFonts w:ascii="仿宋" w:hAnsi="仿宋" w:eastAsia="仿宋"/>
          <w:b/>
          <w:bCs/>
        </w:rPr>
      </w:pPr>
      <w:bookmarkStart w:id="10" w:name="_Toc70450298"/>
      <w:r>
        <w:rPr>
          <w:rStyle w:val="16"/>
          <w:rFonts w:hint="eastAsia" w:ascii="仿宋" w:hAnsi="仿宋" w:eastAsia="仿宋"/>
          <w:b/>
          <w:bCs/>
        </w:rPr>
        <w:t>（一）预算管理</w:t>
      </w:r>
      <w:bookmarkEnd w:id="10"/>
    </w:p>
    <w:p>
      <w:pPr>
        <w:pStyle w:val="5"/>
        <w:spacing w:line="360" w:lineRule="auto"/>
        <w:ind w:firstLine="562" w:firstLineChars="200"/>
        <w:rPr>
          <w:rStyle w:val="16"/>
          <w:rFonts w:ascii="仿宋" w:hAnsi="仿宋" w:eastAsia="仿宋"/>
          <w:b/>
          <w:bCs/>
        </w:rPr>
      </w:pPr>
      <w:bookmarkStart w:id="11" w:name="_Toc70450299"/>
      <w:r>
        <w:rPr>
          <w:rStyle w:val="16"/>
          <w:rFonts w:ascii="仿宋" w:hAnsi="仿宋" w:eastAsia="仿宋"/>
          <w:b/>
          <w:bCs/>
        </w:rPr>
        <w:t>1</w:t>
      </w:r>
      <w:r>
        <w:rPr>
          <w:rStyle w:val="16"/>
          <w:rFonts w:hint="eastAsia" w:ascii="仿宋" w:hAnsi="仿宋" w:eastAsia="仿宋"/>
          <w:b/>
          <w:bCs/>
        </w:rPr>
        <w:t>、预算编制管理</w:t>
      </w:r>
      <w:bookmarkEnd w:id="11"/>
    </w:p>
    <w:p>
      <w:pPr>
        <w:spacing w:line="360" w:lineRule="auto"/>
        <w:ind w:firstLine="506" w:firstLineChars="181"/>
        <w:rPr>
          <w:rStyle w:val="16"/>
          <w:rFonts w:asciiTheme="minorEastAsia" w:hAnsiTheme="minorEastAsia"/>
          <w:color w:val="000000" w:themeColor="text1"/>
          <w:spacing w:val="-4"/>
          <w:sz w:val="28"/>
          <w:szCs w:val="28"/>
        </w:rPr>
      </w:pPr>
      <w:r>
        <w:rPr>
          <w:rFonts w:hint="eastAsia" w:ascii="仿宋_GB2312" w:eastAsia="仿宋_GB2312"/>
          <w:sz w:val="28"/>
          <w:szCs w:val="36"/>
        </w:rPr>
        <w:t>我</w:t>
      </w:r>
      <w:r>
        <w:rPr>
          <w:rStyle w:val="16"/>
          <w:rFonts w:hint="eastAsia" w:ascii="仿宋_GB2312" w:hAnsi="楷体" w:eastAsia="仿宋_GB2312"/>
          <w:b w:val="0"/>
          <w:color w:val="000000" w:themeColor="text1"/>
          <w:spacing w:val="-4"/>
          <w:sz w:val="28"/>
          <w:szCs w:val="28"/>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要求，部门预算及绩效目标在特克斯县</w:t>
      </w:r>
      <w:r>
        <w:rPr>
          <w:rFonts w:hint="eastAsia" w:ascii="仿宋_GB2312" w:eastAsia="仿宋_GB2312"/>
          <w:sz w:val="28"/>
          <w:szCs w:val="36"/>
          <w:lang w:val="en-US" w:eastAsia="zh-CN"/>
        </w:rPr>
        <w:t>政府</w:t>
      </w:r>
      <w:r>
        <w:rPr>
          <w:rFonts w:hint="eastAsia" w:ascii="仿宋_GB2312" w:eastAsia="仿宋_GB2312"/>
          <w:sz w:val="28"/>
          <w:szCs w:val="36"/>
        </w:rPr>
        <w:t>公共信息网公开，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2"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2"/>
    </w:p>
    <w:p>
      <w:pPr>
        <w:spacing w:line="560" w:lineRule="exact"/>
        <w:ind w:firstLine="560" w:firstLineChars="200"/>
        <w:rPr>
          <w:rStyle w:val="16"/>
          <w:b w:val="0"/>
          <w:bCs w:val="0"/>
        </w:rPr>
      </w:pPr>
      <w:r>
        <w:rPr>
          <w:rFonts w:hint="eastAsia" w:ascii="仿宋_GB2312" w:eastAsia="仿宋_GB2312"/>
          <w:sz w:val="28"/>
          <w:szCs w:val="36"/>
          <w:highlight w:val="none"/>
        </w:rPr>
        <w:t>我</w:t>
      </w:r>
      <w:r>
        <w:rPr>
          <w:rStyle w:val="16"/>
          <w:rFonts w:hint="eastAsia" w:ascii="仿宋_GB2312" w:hAnsi="楷体" w:eastAsia="仿宋_GB2312"/>
          <w:b w:val="0"/>
          <w:color w:val="000000" w:themeColor="text1"/>
          <w:spacing w:val="-4"/>
          <w:sz w:val="28"/>
          <w:szCs w:val="28"/>
          <w:highlight w:val="none"/>
        </w:rPr>
        <w:t>单位</w:t>
      </w:r>
      <w:r>
        <w:rPr>
          <w:rFonts w:hint="eastAsia" w:ascii="仿宋_GB2312" w:eastAsia="仿宋_GB2312"/>
          <w:sz w:val="28"/>
          <w:szCs w:val="36"/>
          <w:highlight w:val="none"/>
        </w:rPr>
        <w:t>按照财政</w:t>
      </w:r>
      <w:r>
        <w:rPr>
          <w:rFonts w:hint="eastAsia" w:ascii="仿宋_GB2312" w:eastAsia="仿宋_GB2312"/>
          <w:sz w:val="28"/>
          <w:szCs w:val="36"/>
        </w:rPr>
        <w:t>要求基本支出分月度申报资金使用计划，由财政部门按照进度每月按期拨付，人员支出按照工资计划发放工资；依照</w:t>
      </w:r>
      <w:r>
        <w:rPr>
          <w:rFonts w:ascii="仿宋_GB2312" w:hAnsi="仿宋_GB2312" w:eastAsia="仿宋_GB2312" w:cs="仿宋_GB2312"/>
          <w:kern w:val="1"/>
          <w:sz w:val="32"/>
          <w:szCs w:val="32"/>
        </w:rPr>
        <w:t>中共特克斯县委员会政法委员会</w:t>
      </w:r>
      <w:r>
        <w:rPr>
          <w:rFonts w:hint="eastAsia" w:ascii="仿宋_GB2312" w:hAnsi="仿宋_GB2312" w:eastAsia="仿宋_GB2312" w:cs="仿宋_GB2312"/>
          <w:kern w:val="1"/>
          <w:sz w:val="32"/>
          <w:szCs w:val="32"/>
        </w:rPr>
        <w:t>财务管理相关规定和中共特克斯县委员会政法委员会内控规定流程，资金支出按照我委内控体系中设定的流程申报审批进；</w:t>
      </w:r>
      <w:r>
        <w:rPr>
          <w:rFonts w:hint="eastAsia" w:ascii="仿宋_GB2312" w:eastAsia="仿宋_GB2312"/>
          <w:sz w:val="28"/>
          <w:szCs w:val="36"/>
        </w:rPr>
        <w:t>项目支出属于政府采购的，按照中共特克斯县委员会政法委员会《采购与招标管理办法》组织人员制定采购计划，按照财政局采购部门批复，进行公开招标、邀请招标等方式进行；属于非政府采购的项目，按照“三重一大”制度规定，重大项目支出上办公室主任会议研究决定。</w:t>
      </w:r>
    </w:p>
    <w:p>
      <w:pPr>
        <w:pStyle w:val="4"/>
        <w:spacing w:line="360" w:lineRule="auto"/>
        <w:rPr>
          <w:rStyle w:val="16"/>
          <w:b/>
          <w:bCs/>
          <w:sz w:val="28"/>
          <w:szCs w:val="28"/>
        </w:rPr>
      </w:pPr>
      <w:bookmarkStart w:id="13" w:name="_Toc70450301"/>
      <w:r>
        <w:rPr>
          <w:rStyle w:val="16"/>
          <w:rFonts w:hint="eastAsia"/>
          <w:b/>
          <w:bCs/>
          <w:sz w:val="28"/>
          <w:szCs w:val="28"/>
        </w:rPr>
        <w:t>（二）基本支出管理及使用情况</w:t>
      </w:r>
      <w:bookmarkEnd w:id="13"/>
    </w:p>
    <w:p>
      <w:pPr>
        <w:spacing w:line="360" w:lineRule="auto"/>
        <w:ind w:firstLine="492" w:firstLineChars="181"/>
        <w:rPr>
          <w:rStyle w:val="16"/>
          <w:rFonts w:ascii="仿宋" w:hAnsi="仿宋" w:eastAsia="仿宋"/>
          <w:b w:val="0"/>
          <w:spacing w:val="-4"/>
          <w:sz w:val="28"/>
          <w:szCs w:val="28"/>
          <w:highlight w:val="none"/>
        </w:rPr>
      </w:pPr>
      <w:r>
        <w:rPr>
          <w:rStyle w:val="16"/>
          <w:rFonts w:hint="eastAsia" w:ascii="仿宋_GB2312" w:hAnsi="楷体" w:eastAsia="仿宋_GB2312"/>
          <w:b w:val="0"/>
          <w:spacing w:val="-4"/>
          <w:sz w:val="28"/>
          <w:szCs w:val="28"/>
          <w:highlight w:val="none"/>
        </w:rPr>
        <w:t>2021年基本支出预算安排</w:t>
      </w:r>
      <w:r>
        <w:rPr>
          <w:rStyle w:val="16"/>
          <w:rFonts w:hint="eastAsia" w:ascii="仿宋_GB2312" w:hAnsi="楷体" w:eastAsia="仿宋_GB2312"/>
          <w:b w:val="0"/>
          <w:spacing w:val="-4"/>
          <w:sz w:val="28"/>
          <w:szCs w:val="28"/>
          <w:highlight w:val="none"/>
          <w:lang w:val="en-US" w:eastAsia="zh-CN"/>
        </w:rPr>
        <w:t>907.93</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907.93</w:t>
      </w:r>
      <w:r>
        <w:rPr>
          <w:rStyle w:val="16"/>
          <w:rFonts w:hint="eastAsia" w:ascii="仿宋_GB2312" w:hAnsi="楷体" w:eastAsia="仿宋_GB2312"/>
          <w:b w:val="0"/>
          <w:spacing w:val="-4"/>
          <w:sz w:val="28"/>
          <w:szCs w:val="28"/>
          <w:highlight w:val="none"/>
        </w:rPr>
        <w:t>万元,实际支出</w:t>
      </w:r>
      <w:r>
        <w:rPr>
          <w:rStyle w:val="16"/>
          <w:rFonts w:hint="eastAsia" w:ascii="仿宋_GB2312" w:hAnsi="楷体" w:eastAsia="仿宋_GB2312"/>
          <w:b w:val="0"/>
          <w:spacing w:val="-4"/>
          <w:sz w:val="28"/>
          <w:szCs w:val="28"/>
          <w:highlight w:val="none"/>
          <w:lang w:val="en-US" w:eastAsia="zh-CN"/>
        </w:rPr>
        <w:t>907.93</w:t>
      </w:r>
      <w:r>
        <w:rPr>
          <w:rStyle w:val="16"/>
          <w:rFonts w:hint="eastAsia" w:ascii="仿宋_GB2312" w:hAnsi="楷体" w:eastAsia="仿宋_GB2312"/>
          <w:b w:val="0"/>
          <w:spacing w:val="-4"/>
          <w:sz w:val="28"/>
          <w:szCs w:val="28"/>
          <w:highlight w:val="none"/>
        </w:rPr>
        <w:t>万元，占总支出的97.66％，其中：工资福利支出</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465.07万元、商品和服务支出248.45</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万元、对个人和家庭的补助</w:t>
      </w:r>
      <w:r>
        <w:rPr>
          <w:rStyle w:val="16"/>
          <w:rFonts w:hint="eastAsia" w:ascii="仿宋_GB2312" w:hAnsi="楷体" w:eastAsia="仿宋_GB2312"/>
          <w:b w:val="0"/>
          <w:spacing w:val="-4"/>
          <w:sz w:val="28"/>
          <w:szCs w:val="28"/>
          <w:highlight w:val="none"/>
          <w:lang w:val="en-US" w:eastAsia="zh-CN"/>
        </w:rPr>
        <w:t>165.87</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 w:hAnsi="仿宋" w:eastAsia="仿宋"/>
          <w:b w:val="0"/>
          <w:spacing w:val="-4"/>
          <w:sz w:val="28"/>
          <w:szCs w:val="28"/>
          <w:highlight w:val="none"/>
        </w:rPr>
        <w:t>主要用于</w:t>
      </w:r>
      <w:r>
        <w:rPr>
          <w:rFonts w:hint="eastAsia" w:ascii="仿宋" w:hAnsi="仿宋" w:eastAsia="仿宋" w:cs="仿宋_GB2312"/>
          <w:sz w:val="28"/>
          <w:szCs w:val="28"/>
          <w:highlight w:val="none"/>
        </w:rPr>
        <w:t>人员基本工资、津贴补贴、基本养老保险缴费支出、基本医疗保险支出、住房公积金、生活补助等。公用经费主要包括：办公费、印刷费、咨询费、手续费、水费、电费、邮电费、取暖费、差旅费、维修（护）费、租赁费、会议费、培训费、劳务费、工会经费、公务用车运行维护费</w:t>
      </w:r>
      <w:r>
        <w:rPr>
          <w:rStyle w:val="16"/>
          <w:rFonts w:hint="eastAsia" w:ascii="仿宋" w:hAnsi="仿宋" w:eastAsia="仿宋"/>
          <w:b w:val="0"/>
          <w:spacing w:val="-4"/>
          <w:sz w:val="28"/>
          <w:szCs w:val="28"/>
          <w:highlight w:val="none"/>
        </w:rPr>
        <w:t>。资本性支出28.54万元。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2021年基本支出比上年705.49万元,增加202.44</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万元，上升28.69</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，支出上升的主要原因是人员增加及调资，预算增加。</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年一般公共预算“三公”经费数为5.3万元，其中：因公出国（境）费 0万元，公务用车购置0万元，公务用车运行费5.3万元，公务接待费0万元。</w:t>
      </w:r>
    </w:p>
    <w:p>
      <w:pPr>
        <w:spacing w:line="560" w:lineRule="exact"/>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年一般公共预算“三公”经费比上年增加4.5万元，其中：因公出国（境）费增加0 万元，主要原因是</w:t>
      </w:r>
      <w:r>
        <w:rPr>
          <w:rFonts w:hint="eastAsia" w:ascii="仿宋_GB2312" w:hAnsi="宋体" w:eastAsia="仿宋_GB2312" w:cs="宋体"/>
          <w:kern w:val="0"/>
          <w:sz w:val="28"/>
          <w:szCs w:val="28"/>
        </w:rPr>
        <w:t>2021年我单位因公出国（境）费未安排预算。</w:t>
      </w:r>
      <w:r>
        <w:rPr>
          <w:rStyle w:val="16"/>
          <w:rFonts w:hint="eastAsia" w:ascii="仿宋_GB2312" w:hAnsi="楷体" w:eastAsia="仿宋_GB2312"/>
          <w:b w:val="0"/>
          <w:spacing w:val="-4"/>
          <w:sz w:val="28"/>
          <w:szCs w:val="28"/>
        </w:rPr>
        <w:t>公务用车购置费为0，未安排预算。公务用车运行费增加4.5万元，主要原因是增加一名县处级领导正职，公务用车运行维护费预算增加；公务接待费增加0万元，主要原因是</w:t>
      </w:r>
      <w:r>
        <w:rPr>
          <w:rFonts w:hint="eastAsia" w:ascii="仿宋_GB2312" w:hAnsi="宋体" w:eastAsia="仿宋_GB2312" w:cs="宋体"/>
          <w:kern w:val="0"/>
          <w:sz w:val="28"/>
          <w:szCs w:val="28"/>
        </w:rPr>
        <w:t>2021年我单位公务接待费未安排预算。</w:t>
      </w:r>
      <w:r>
        <w:rPr>
          <w:rStyle w:val="16"/>
          <w:rFonts w:hint="eastAsia" w:ascii="仿宋_GB2312" w:hAnsi="楷体" w:eastAsia="仿宋_GB2312"/>
          <w:b w:val="0"/>
          <w:spacing w:val="-4"/>
          <w:sz w:val="28"/>
          <w:szCs w:val="28"/>
        </w:rPr>
        <w:t xml:space="preserve">     </w:t>
      </w:r>
    </w:p>
    <w:p>
      <w:pPr>
        <w:pStyle w:val="4"/>
        <w:spacing w:line="360" w:lineRule="auto"/>
        <w:rPr>
          <w:rStyle w:val="16"/>
          <w:rFonts w:ascii="仿宋" w:hAnsi="仿宋" w:eastAsia="仿宋"/>
          <w:b/>
          <w:bCs/>
        </w:rPr>
      </w:pPr>
      <w:bookmarkStart w:id="14" w:name="_Toc70450302"/>
      <w:r>
        <w:rPr>
          <w:rStyle w:val="16"/>
          <w:rFonts w:hint="eastAsia" w:ascii="仿宋" w:hAnsi="仿宋" w:eastAsia="仿宋"/>
          <w:b/>
          <w:bCs/>
        </w:rPr>
        <w:t>（三）专项支出管理及使用情况</w:t>
      </w:r>
      <w:bookmarkEnd w:id="14"/>
    </w:p>
    <w:p>
      <w:pPr>
        <w:pStyle w:val="5"/>
        <w:spacing w:line="360" w:lineRule="auto"/>
        <w:ind w:firstLine="562" w:firstLineChars="200"/>
        <w:rPr>
          <w:rStyle w:val="16"/>
          <w:rFonts w:ascii="仿宋" w:hAnsi="仿宋" w:eastAsia="仿宋"/>
          <w:b/>
          <w:bCs/>
        </w:rPr>
      </w:pPr>
      <w:bookmarkStart w:id="15" w:name="_Toc70450303"/>
      <w:r>
        <w:rPr>
          <w:rStyle w:val="16"/>
          <w:rFonts w:hint="eastAsia" w:ascii="仿宋" w:hAnsi="仿宋" w:eastAsia="仿宋"/>
          <w:b/>
          <w:bCs/>
        </w:rPr>
        <w:t>1、专项资金安排落实、总投入等情况分析</w:t>
      </w:r>
      <w:bookmarkEnd w:id="15"/>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年预算安排专项资金21.8万元，实际到位21.8万元,</w:t>
      </w:r>
      <w:r>
        <w:rPr>
          <w:rFonts w:hint="eastAsia"/>
        </w:rPr>
        <w:t xml:space="preserve"> </w:t>
      </w:r>
      <w:r>
        <w:rPr>
          <w:rStyle w:val="16"/>
          <w:rFonts w:hint="eastAsia" w:ascii="仿宋_GB2312" w:hAnsi="楷体" w:eastAsia="仿宋_GB2312"/>
          <w:b w:val="0"/>
          <w:spacing w:val="-4"/>
          <w:sz w:val="28"/>
          <w:szCs w:val="28"/>
        </w:rPr>
        <w:t>到位率100％,其中:中央转移支付项目资金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万元，自治区资金</w:t>
      </w:r>
      <w:r>
        <w:rPr>
          <w:rStyle w:val="16"/>
          <w:rFonts w:hint="eastAsia" w:ascii="仿宋_GB2312" w:hAnsi="楷体" w:eastAsia="仿宋_GB2312"/>
          <w:b w:val="0"/>
          <w:spacing w:val="-4"/>
          <w:sz w:val="28"/>
          <w:szCs w:val="28"/>
          <w:lang w:val="en-US" w:eastAsia="zh-CN"/>
        </w:rPr>
        <w:t>21.8</w:t>
      </w:r>
      <w:r>
        <w:rPr>
          <w:rStyle w:val="16"/>
          <w:rFonts w:hint="eastAsia" w:ascii="仿宋_GB2312" w:hAnsi="楷体" w:eastAsia="仿宋_GB2312"/>
          <w:b w:val="0"/>
          <w:spacing w:val="-4"/>
          <w:sz w:val="28"/>
          <w:szCs w:val="28"/>
        </w:rPr>
        <w:t>万元，本级安排 0万元。</w:t>
      </w:r>
    </w:p>
    <w:p>
      <w:pPr>
        <w:pStyle w:val="5"/>
        <w:spacing w:line="360" w:lineRule="auto"/>
        <w:ind w:firstLine="562" w:firstLineChars="200"/>
        <w:rPr>
          <w:rStyle w:val="16"/>
          <w:rFonts w:ascii="仿宋" w:hAnsi="仿宋" w:eastAsia="仿宋"/>
          <w:b/>
          <w:bCs/>
        </w:rPr>
      </w:pPr>
      <w:bookmarkStart w:id="16" w:name="_Toc70450304"/>
      <w:r>
        <w:rPr>
          <w:rStyle w:val="16"/>
          <w:rFonts w:hint="eastAsia" w:ascii="仿宋" w:hAnsi="仿宋" w:eastAsia="仿宋"/>
          <w:b/>
          <w:bCs/>
        </w:rPr>
        <w:t>2、专项资金实际使用情况</w:t>
      </w:r>
      <w:bookmarkEnd w:id="1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2021年专项资金支出21.</w:t>
      </w:r>
      <w:r>
        <w:rPr>
          <w:rStyle w:val="16"/>
          <w:rFonts w:hint="eastAsia" w:ascii="仿宋_GB2312" w:hAnsi="楷体" w:eastAsia="仿宋_GB2312"/>
          <w:b w:val="0"/>
          <w:spacing w:val="-4"/>
          <w:sz w:val="28"/>
          <w:szCs w:val="28"/>
          <w:highlight w:val="none"/>
        </w:rPr>
        <w:t>8万元，占总支出的</w:t>
      </w:r>
      <w:r>
        <w:rPr>
          <w:rStyle w:val="16"/>
          <w:rFonts w:hint="eastAsia" w:ascii="仿宋_GB2312" w:hAnsi="楷体" w:eastAsia="仿宋_GB2312"/>
          <w:b w:val="0"/>
          <w:spacing w:val="-4"/>
          <w:sz w:val="28"/>
          <w:szCs w:val="28"/>
          <w:highlight w:val="none"/>
          <w:lang w:val="en-US" w:eastAsia="zh-CN"/>
        </w:rPr>
        <w:t>2.34</w:t>
      </w:r>
      <w:r>
        <w:rPr>
          <w:rStyle w:val="16"/>
          <w:rFonts w:hint="eastAsia" w:ascii="仿宋_GB2312" w:hAnsi="楷体" w:eastAsia="仿宋_GB2312"/>
          <w:b w:val="0"/>
          <w:spacing w:val="-4"/>
          <w:sz w:val="28"/>
          <w:szCs w:val="28"/>
          <w:highlight w:val="none"/>
        </w:rPr>
        <w:t>%，其</w:t>
      </w:r>
      <w:r>
        <w:rPr>
          <w:rStyle w:val="16"/>
          <w:rFonts w:hint="eastAsia" w:ascii="仿宋_GB2312" w:hAnsi="楷体" w:eastAsia="仿宋_GB2312"/>
          <w:b w:val="0"/>
          <w:spacing w:val="-4"/>
          <w:sz w:val="28"/>
          <w:szCs w:val="28"/>
        </w:rPr>
        <w:t>中2021年专项项目支出比上年5000万元减少4978.2万元，下降99.56%。支出减少的主要原因是今年</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双联户与司法救助人员的补助。其中：</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双联户项目安排11.8万元，主要用于</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双联户的补助。司法救助项目安排10万元，主要用于司法救助。</w:t>
      </w:r>
    </w:p>
    <w:p>
      <w:pPr>
        <w:pStyle w:val="5"/>
        <w:spacing w:line="360" w:lineRule="auto"/>
        <w:ind w:firstLine="562" w:firstLineChars="200"/>
        <w:rPr>
          <w:rStyle w:val="16"/>
          <w:rFonts w:ascii="仿宋" w:hAnsi="仿宋" w:eastAsia="仿宋"/>
          <w:b/>
          <w:bCs/>
        </w:rPr>
      </w:pPr>
      <w:bookmarkStart w:id="17" w:name="_Toc70450305"/>
      <w:r>
        <w:rPr>
          <w:rStyle w:val="16"/>
          <w:rFonts w:hint="eastAsia" w:ascii="仿宋" w:hAnsi="仿宋" w:eastAsia="仿宋"/>
          <w:b/>
          <w:bCs/>
        </w:rPr>
        <w:t>3、专项资金管理情况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w:t>
      </w:r>
      <w:r>
        <w:rPr>
          <w:rStyle w:val="16"/>
          <w:rFonts w:hint="eastAsia" w:ascii="仿宋_GB2312" w:hAnsi="楷体" w:eastAsia="仿宋_GB2312"/>
          <w:b w:val="0"/>
          <w:color w:val="000000" w:themeColor="text1"/>
          <w:spacing w:val="-4"/>
          <w:sz w:val="28"/>
          <w:szCs w:val="28"/>
        </w:rPr>
        <w:t>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560" w:lineRule="exact"/>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Fonts w:ascii="仿宋_GB2312" w:hAnsi="仿宋_GB2312" w:eastAsia="仿宋_GB2312" w:cs="仿宋_GB2312"/>
          <w:kern w:val="1"/>
          <w:sz w:val="28"/>
          <w:szCs w:val="28"/>
        </w:rPr>
        <w:t>《中共特克斯县委员会</w:t>
      </w:r>
      <w:r>
        <w:rPr>
          <w:rFonts w:hint="eastAsia" w:ascii="仿宋_GB2312" w:hAnsi="仿宋_GB2312" w:eastAsia="仿宋_GB2312" w:cs="仿宋_GB2312"/>
          <w:kern w:val="1"/>
          <w:sz w:val="28"/>
          <w:szCs w:val="28"/>
        </w:rPr>
        <w:t>政法委员会</w:t>
      </w:r>
      <w:r>
        <w:rPr>
          <w:rFonts w:ascii="仿宋_GB2312" w:hAnsi="仿宋_GB2312" w:eastAsia="仿宋_GB2312" w:cs="仿宋_GB2312"/>
          <w:kern w:val="1"/>
          <w:sz w:val="28"/>
          <w:szCs w:val="28"/>
        </w:rPr>
        <w:t>项目资金管理办法》</w:t>
      </w:r>
      <w:r>
        <w:rPr>
          <w:rStyle w:val="16"/>
          <w:rFonts w:hint="eastAsia" w:ascii="仿宋_GB2312" w:hAnsi="楷体" w:eastAsia="仿宋_GB2312"/>
          <w:b w:val="0"/>
          <w:spacing w:val="-4"/>
          <w:sz w:val="28"/>
          <w:szCs w:val="28"/>
        </w:rPr>
        <w:t>，</w:t>
      </w:r>
      <w:r>
        <w:rPr>
          <w:rFonts w:ascii="仿宋_GB2312" w:hAnsi="仿宋_GB2312" w:eastAsia="仿宋_GB2312" w:cs="仿宋_GB2312"/>
          <w:kern w:val="1"/>
          <w:sz w:val="28"/>
          <w:szCs w:val="28"/>
        </w:rPr>
        <w:t>《中共特克斯县委员会办公室项目资金管理办法》</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专项资金管理办法，各项资金使用审批流程均按规定办理。涉及“三重一大”内容，严格按照规定提请党组会审议决定，包括项目资金分配、重大项目确定、大额资金支付等。</w:t>
      </w:r>
    </w:p>
    <w:p>
      <w:pPr>
        <w:spacing w:line="560" w:lineRule="exact"/>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）建立中共特克斯县委员会政法委员会专项资金专帐，做到有据可依，有据可查。</w:t>
      </w:r>
    </w:p>
    <w:p>
      <w:pPr>
        <w:spacing w:line="560" w:lineRule="exact"/>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（3）制订了中共特克斯县委员会政法委员会项目实施方案，确保项目顺利实施。</w:t>
      </w:r>
    </w:p>
    <w:p>
      <w:pPr>
        <w:spacing w:line="520" w:lineRule="atLeast"/>
        <w:ind w:firstLine="465"/>
        <w:jc w:val="left"/>
        <w:rPr>
          <w:rStyle w:val="16"/>
          <w:rFonts w:ascii="仿宋_GB2312" w:hAnsi="仿宋_GB2312" w:eastAsia="仿宋_GB2312" w:cs="仿宋_GB2312"/>
          <w:b w:val="0"/>
          <w:bCs w:val="0"/>
          <w:kern w:val="1"/>
          <w:sz w:val="28"/>
          <w:szCs w:val="28"/>
        </w:rPr>
      </w:pPr>
      <w:r>
        <w:rPr>
          <w:rStyle w:val="16"/>
          <w:rFonts w:hint="eastAsia" w:ascii="仿宋_GB2312" w:hAnsi="楷体" w:eastAsia="仿宋_GB2312"/>
          <w:b w:val="0"/>
          <w:spacing w:val="-4"/>
          <w:sz w:val="28"/>
          <w:szCs w:val="28"/>
        </w:rPr>
        <w:t>（4）认真组织中共特克斯县委员会政法委员会项目验收，确保项目</w:t>
      </w:r>
      <w:r>
        <w:rPr>
          <w:rFonts w:hint="eastAsia" w:ascii="仿宋_GB2312" w:hAnsi="仿宋_GB2312" w:eastAsia="仿宋_GB2312" w:cs="仿宋_GB2312"/>
          <w:kern w:val="1"/>
          <w:sz w:val="28"/>
          <w:szCs w:val="28"/>
        </w:rPr>
        <w:t xml:space="preserve">成效，全年预算支出整体受控。 </w:t>
      </w:r>
    </w:p>
    <w:p>
      <w:pPr>
        <w:spacing w:line="560" w:lineRule="exact"/>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专项资金涉及政府采购项目的，按照标准《中共特克斯县委员会政法委员会采购与招标管理办法》组织人员制定采购计划，按照财政局采购部门批复，进行公开招标、邀请招标等方式进行。</w:t>
      </w:r>
    </w:p>
    <w:p>
      <w:pPr>
        <w:pStyle w:val="3"/>
        <w:spacing w:line="360" w:lineRule="auto"/>
        <w:rPr>
          <w:rFonts w:ascii="仿宋" w:hAnsi="仿宋" w:eastAsia="仿宋"/>
          <w:sz w:val="36"/>
          <w:szCs w:val="36"/>
        </w:rPr>
      </w:pPr>
      <w:bookmarkStart w:id="18" w:name="_Toc70450306"/>
      <w:r>
        <w:rPr>
          <w:rFonts w:hint="eastAsia" w:ascii="仿宋" w:hAnsi="仿宋" w:eastAsia="仿宋"/>
          <w:sz w:val="36"/>
          <w:szCs w:val="36"/>
        </w:rPr>
        <w:t>三、部门单位专项组织实施情况</w:t>
      </w:r>
      <w:bookmarkEnd w:id="18"/>
    </w:p>
    <w:p>
      <w:pPr>
        <w:pStyle w:val="5"/>
        <w:numPr>
          <w:ilvl w:val="0"/>
          <w:numId w:val="1"/>
        </w:numPr>
        <w:spacing w:line="360" w:lineRule="auto"/>
        <w:rPr>
          <w:rStyle w:val="16"/>
          <w:rFonts w:ascii="仿宋" w:hAnsi="仿宋" w:eastAsia="仿宋"/>
          <w:b/>
          <w:bCs/>
        </w:rPr>
      </w:pPr>
      <w:bookmarkStart w:id="19" w:name="_Toc70450308"/>
      <w:r>
        <w:rPr>
          <w:rStyle w:val="16"/>
          <w:rFonts w:hint="eastAsia" w:ascii="仿宋" w:hAnsi="仿宋" w:eastAsia="仿宋"/>
          <w:b/>
          <w:bCs/>
        </w:rPr>
        <w:t>专项组织情况分析</w:t>
      </w:r>
      <w:bookmarkEnd w:id="19"/>
    </w:p>
    <w:p>
      <w:pPr>
        <w:pStyle w:val="20"/>
        <w:numPr>
          <w:ilvl w:val="0"/>
          <w:numId w:val="2"/>
        </w:numPr>
        <w:snapToGrid w:val="0"/>
        <w:spacing w:line="360" w:lineRule="auto"/>
        <w:ind w:firstLineChars="0"/>
        <w:rPr>
          <w:rStyle w:val="16"/>
          <w:rFonts w:hint="eastAsia"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前期准备</w:t>
      </w:r>
    </w:p>
    <w:p>
      <w:pPr>
        <w:snapToGrid w:val="0"/>
        <w:spacing w:line="560" w:lineRule="exact"/>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年初我单位下发的中共特克斯县委员会政法委员会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spacing w:val="-4"/>
          <w:sz w:val="28"/>
          <w:szCs w:val="28"/>
        </w:rPr>
        <w:t>1</w:t>
      </w:r>
      <w:r>
        <w:rPr>
          <w:rStyle w:val="16"/>
          <w:rFonts w:hint="eastAsia" w:ascii="仿宋_GB2312" w:hAnsi="楷体" w:eastAsia="仿宋_GB2312"/>
          <w:b w:val="0"/>
          <w:bCs w:val="0"/>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hint="eastAsia"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lang w:val="en-US" w:eastAsia="zh-CN"/>
        </w:rPr>
        <w:t>2、</w:t>
      </w:r>
      <w:r>
        <w:rPr>
          <w:rStyle w:val="16"/>
          <w:rFonts w:hint="eastAsia" w:ascii="仿宋_GB2312" w:hAnsi="楷体" w:eastAsia="仿宋_GB2312"/>
          <w:b w:val="0"/>
          <w:bCs w:val="0"/>
          <w:spacing w:val="-4"/>
          <w:sz w:val="28"/>
          <w:szCs w:val="28"/>
        </w:rPr>
        <w:t>组织实施</w:t>
      </w:r>
    </w:p>
    <w:p>
      <w:pPr>
        <w:snapToGrid w:val="0"/>
        <w:spacing w:line="560" w:lineRule="exact"/>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560" w:lineRule="exact"/>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rPr>
          <w:rStyle w:val="16"/>
          <w:rFonts w:ascii="仿宋_GB2312" w:hAnsi="楷体" w:eastAsia="仿宋_GB2312"/>
          <w:b w:val="0"/>
          <w:bCs w:val="0"/>
          <w:spacing w:val="-4"/>
          <w:sz w:val="28"/>
          <w:szCs w:val="28"/>
        </w:rPr>
      </w:pPr>
    </w:p>
    <w:p>
      <w:pPr>
        <w:pStyle w:val="5"/>
        <w:numPr>
          <w:ilvl w:val="0"/>
          <w:numId w:val="1"/>
        </w:numPr>
        <w:spacing w:line="360" w:lineRule="auto"/>
        <w:rPr>
          <w:rStyle w:val="16"/>
          <w:rFonts w:ascii="仿宋" w:hAnsi="仿宋" w:eastAsia="仿宋"/>
          <w:b/>
          <w:bCs/>
        </w:rPr>
      </w:pPr>
      <w:bookmarkStart w:id="20" w:name="_Toc70450309"/>
      <w:r>
        <w:rPr>
          <w:rStyle w:val="16"/>
          <w:rFonts w:hint="eastAsia" w:ascii="仿宋" w:hAnsi="仿宋" w:eastAsia="仿宋"/>
          <w:b/>
          <w:bCs/>
        </w:rPr>
        <w:t>专项管理情况分析</w:t>
      </w:r>
      <w:bookmarkEnd w:id="20"/>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021</w:t>
      </w:r>
      <w:r>
        <w:rPr>
          <w:rStyle w:val="16"/>
          <w:rFonts w:hint="eastAsia" w:ascii="仿宋_GB2312" w:hAnsi="楷体" w:eastAsia="仿宋_GB2312"/>
          <w:b w:val="0"/>
          <w:spacing w:val="-4"/>
          <w:sz w:val="28"/>
          <w:szCs w:val="28"/>
        </w:rPr>
        <w:t>年涉及专项资金21.8万元，实际到位21.8万元，资金到位率100%。截止到</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年1</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月31日执行21.8万元，执行率100%。其中：20</w:t>
      </w:r>
      <w:r>
        <w:rPr>
          <w:rStyle w:val="16"/>
          <w:rFonts w:ascii="仿宋_GB2312" w:hAnsi="楷体" w:eastAsia="仿宋_GB2312"/>
          <w:b w:val="0"/>
          <w:spacing w:val="-4"/>
          <w:sz w:val="28"/>
          <w:szCs w:val="28"/>
        </w:rPr>
        <w:t>21</w:t>
      </w:r>
      <w:r>
        <w:rPr>
          <w:rStyle w:val="16"/>
          <w:rFonts w:hint="eastAsia" w:ascii="仿宋_GB2312" w:hAnsi="楷体" w:eastAsia="仿宋_GB2312"/>
          <w:b w:val="0"/>
          <w:spacing w:val="-4"/>
          <w:sz w:val="28"/>
          <w:szCs w:val="28"/>
        </w:rPr>
        <w:t>年结转专项资金0万元，实际执行0万元，执行率为0%；202</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年新增专项资金21.8万元，实际执行21.8万元，执行率为100%。</w:t>
      </w:r>
    </w:p>
    <w:p>
      <w:pPr>
        <w:pStyle w:val="20"/>
        <w:numPr>
          <w:ilvl w:val="0"/>
          <w:numId w:val="2"/>
        </w:numPr>
        <w:spacing w:line="360" w:lineRule="auto"/>
        <w:ind w:firstLineChars="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资金管理情况</w:t>
      </w:r>
    </w:p>
    <w:p>
      <w:pPr>
        <w:spacing w:line="560" w:lineRule="exact"/>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我单位严格执行中共特克斯县委员会政法委员会《专项资金管理办法》文件精神要求，加强对专项资金的绩效管理，确保专款专用，提高专项资金使用效益。遵守相关法律法规，严肃财经纪律，自觉接受财政、审计、监察监督检查。</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项目实施情况分析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w:t>
      </w:r>
      <w:r>
        <w:rPr>
          <w:rStyle w:val="16"/>
          <w:rFonts w:ascii="仿宋_GB2312" w:hAnsi="楷体" w:eastAsia="仿宋_GB2312"/>
          <w:b w:val="0"/>
          <w:spacing w:val="-4"/>
          <w:sz w:val="28"/>
          <w:szCs w:val="28"/>
        </w:rPr>
        <w:t>、组织情况</w:t>
      </w:r>
    </w:p>
    <w:p>
      <w:pPr>
        <w:spacing w:line="360" w:lineRule="auto"/>
        <w:ind w:firstLine="544" w:firstLineChars="200"/>
        <w:rPr>
          <w:rStyle w:val="16"/>
          <w:rFonts w:ascii="仿宋_GB2312" w:hAnsi="楷体" w:eastAsia="仿宋_GB2312"/>
          <w:b w:val="0"/>
          <w:color w:val="000000" w:themeColor="text1"/>
          <w:spacing w:val="-4"/>
          <w:sz w:val="28"/>
          <w:szCs w:val="28"/>
        </w:rPr>
      </w:pPr>
      <w:r>
        <w:rPr>
          <w:rStyle w:val="16"/>
          <w:rFonts w:hint="eastAsia" w:ascii="仿宋_GB2312" w:hAnsi="楷体" w:eastAsia="仿宋_GB2312"/>
          <w:b w:val="0"/>
          <w:spacing w:val="-4"/>
          <w:sz w:val="28"/>
          <w:szCs w:val="28"/>
        </w:rPr>
        <w:t>中共特克斯县委员会政法委员会</w:t>
      </w:r>
      <w:r>
        <w:rPr>
          <w:rStyle w:val="16"/>
          <w:rFonts w:hint="eastAsia" w:ascii="仿宋_GB2312" w:hAnsi="楷体" w:eastAsia="仿宋_GB2312"/>
          <w:b w:val="0"/>
          <w:color w:val="000000" w:themeColor="text1"/>
          <w:spacing w:val="-4"/>
          <w:sz w:val="28"/>
          <w:szCs w:val="28"/>
        </w:rPr>
        <w:t>根据202</w:t>
      </w:r>
      <w:r>
        <w:rPr>
          <w:rStyle w:val="16"/>
          <w:rFonts w:ascii="仿宋_GB2312" w:hAnsi="楷体" w:eastAsia="仿宋_GB2312"/>
          <w:b w:val="0"/>
          <w:color w:val="000000" w:themeColor="text1"/>
          <w:spacing w:val="-4"/>
          <w:sz w:val="28"/>
          <w:szCs w:val="28"/>
        </w:rPr>
        <w:t>1</w:t>
      </w:r>
      <w:r>
        <w:rPr>
          <w:rStyle w:val="16"/>
          <w:rFonts w:hint="eastAsia" w:ascii="仿宋_GB2312" w:hAnsi="楷体" w:eastAsia="仿宋_GB2312"/>
          <w:b w:val="0"/>
          <w:color w:val="000000" w:themeColor="text1"/>
          <w:spacing w:val="-4"/>
          <w:sz w:val="28"/>
          <w:szCs w:val="28"/>
        </w:rPr>
        <w:t>年2个项目的绩效目标及工作内容，将其细化分工至本单位2个负责人，加强组织领导，明确分工，各司其职，抓好工作目标任务的落实完成，同时年中要求各负责人按照年初预算对本科室绩效工作进行自查自评，并报上半年工作情况总结，</w:t>
      </w:r>
      <w:r>
        <w:rPr>
          <w:rStyle w:val="16"/>
          <w:rFonts w:ascii="仿宋_GB2312" w:hAnsi="楷体" w:eastAsia="仿宋_GB2312"/>
          <w:b w:val="0"/>
          <w:color w:val="000000" w:themeColor="text1"/>
          <w:spacing w:val="-4"/>
          <w:sz w:val="28"/>
          <w:szCs w:val="28"/>
        </w:rPr>
        <w:t>5</w:t>
      </w:r>
      <w:r>
        <w:rPr>
          <w:rStyle w:val="16"/>
          <w:rFonts w:hint="eastAsia" w:ascii="仿宋_GB2312" w:hAnsi="楷体" w:eastAsia="仿宋_GB2312"/>
          <w:b w:val="0"/>
          <w:color w:val="000000" w:themeColor="text1"/>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、管理情况</w:t>
      </w:r>
    </w:p>
    <w:p>
      <w:pPr>
        <w:spacing w:line="360" w:lineRule="auto"/>
        <w:ind w:firstLine="544" w:firstLineChars="200"/>
        <w:rPr>
          <w:rStyle w:val="16"/>
          <w:rFonts w:ascii="仿宋_GB2312" w:hAnsi="楷体" w:eastAsia="仿宋_GB2312"/>
          <w:b w:val="0"/>
          <w:color w:val="000000" w:themeColor="text1"/>
          <w:spacing w:val="-4"/>
          <w:sz w:val="28"/>
          <w:szCs w:val="28"/>
        </w:rPr>
      </w:pPr>
      <w:r>
        <w:rPr>
          <w:rStyle w:val="16"/>
          <w:rFonts w:hint="eastAsia" w:ascii="仿宋_GB2312" w:hAnsi="楷体" w:eastAsia="仿宋_GB2312"/>
          <w:b w:val="0"/>
          <w:spacing w:val="-4"/>
          <w:sz w:val="28"/>
          <w:szCs w:val="28"/>
        </w:rPr>
        <w:t>中共特克斯县委员会政法委员会</w:t>
      </w:r>
      <w:r>
        <w:rPr>
          <w:rStyle w:val="16"/>
          <w:rFonts w:hint="eastAsia" w:ascii="仿宋_GB2312" w:hAnsi="楷体" w:eastAsia="仿宋_GB2312"/>
          <w:b w:val="0"/>
          <w:color w:val="000000" w:themeColor="text1"/>
          <w:spacing w:val="-4"/>
          <w:sz w:val="28"/>
          <w:szCs w:val="28"/>
        </w:rPr>
        <w:t>实施的2个项目，由相关业务处室指派专人进行全过程跟踪管理，处室统筹推进项目实施，部门不定期对项目进度进行调度，并对项目质量进行控制。</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w:t>
      </w:r>
      <w:r>
        <w:rPr>
          <w:rStyle w:val="16"/>
          <w:rFonts w:ascii="仿宋_GB2312" w:hAnsi="楷体" w:eastAsia="仿宋_GB2312"/>
          <w:b w:val="0"/>
          <w:spacing w:val="-4"/>
          <w:sz w:val="28"/>
          <w:szCs w:val="28"/>
        </w:rPr>
        <w:t>、监管情况</w:t>
      </w:r>
    </w:p>
    <w:p>
      <w:pPr>
        <w:spacing w:line="360" w:lineRule="auto"/>
        <w:ind w:firstLine="544" w:firstLineChars="200"/>
        <w:rPr>
          <w:rStyle w:val="16"/>
          <w:rFonts w:ascii="仿宋_GB2312" w:hAnsi="楷体" w:eastAsia="仿宋_GB2312"/>
          <w:b w:val="0"/>
          <w:color w:val="000000" w:themeColor="text1"/>
          <w:spacing w:val="-4"/>
          <w:sz w:val="28"/>
          <w:szCs w:val="28"/>
        </w:rPr>
      </w:pPr>
      <w:r>
        <w:rPr>
          <w:rStyle w:val="16"/>
          <w:rFonts w:hint="eastAsia" w:ascii="仿宋_GB2312" w:hAnsi="楷体" w:eastAsia="仿宋_GB2312"/>
          <w:b w:val="0"/>
          <w:spacing w:val="-4"/>
          <w:sz w:val="28"/>
          <w:szCs w:val="28"/>
        </w:rPr>
        <w:t>中共特克斯县委员会政法委员</w:t>
      </w:r>
      <w:r>
        <w:rPr>
          <w:rStyle w:val="16"/>
          <w:rFonts w:hint="eastAsia" w:ascii="仿宋_GB2312" w:hAnsi="楷体" w:eastAsia="仿宋_GB2312"/>
          <w:b w:val="0"/>
          <w:color w:val="000000" w:themeColor="text1"/>
          <w:spacing w:val="-4"/>
          <w:sz w:val="28"/>
          <w:szCs w:val="28"/>
        </w:rPr>
        <w:t>会从项目实施方案、项目预算、项目建设进度、项目成本、项目验收等环节，全过程对项目进行监管，并向本单位主要领导报告，以推进项目建设和提高项目质量，以发挥资金使用效益。</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中共特克斯县委员会政法委员</w:t>
      </w:r>
      <w:r>
        <w:rPr>
          <w:rStyle w:val="16"/>
          <w:rFonts w:hint="eastAsia" w:ascii="仿宋_GB2312" w:hAnsi="楷体" w:eastAsia="仿宋_GB2312"/>
          <w:b w:val="0"/>
          <w:color w:val="000000" w:themeColor="text1"/>
          <w:spacing w:val="-4"/>
          <w:sz w:val="28"/>
          <w:szCs w:val="28"/>
        </w:rPr>
        <w:t>会</w:t>
      </w:r>
      <w:r>
        <w:rPr>
          <w:rStyle w:val="16"/>
          <w:rFonts w:hint="eastAsia" w:ascii="仿宋_GB2312" w:hAnsi="楷体" w:eastAsia="仿宋_GB2312"/>
          <w:b w:val="0"/>
          <w:color w:val="000000" w:themeColor="text1"/>
          <w:spacing w:val="-4"/>
          <w:sz w:val="28"/>
          <w:szCs w:val="28"/>
          <w:lang w:eastAsia="zh-CN"/>
        </w:rPr>
        <w:t>，</w:t>
      </w:r>
      <w:r>
        <w:rPr>
          <w:rStyle w:val="16"/>
          <w:rFonts w:hint="eastAsia" w:ascii="仿宋_GB2312" w:hAnsi="楷体" w:eastAsia="仿宋_GB2312"/>
          <w:b w:val="0"/>
          <w:spacing w:val="-4"/>
          <w:sz w:val="28"/>
          <w:szCs w:val="28"/>
        </w:rPr>
        <w:t>所涉及专项项目均已于专项资金下达后按照资金文件及绩效管理要求设置《项目绩效目标表》。2个专项项目预算总额为21.8万元，在项目实施过程中，业务人员加强项目管理，合理控制项目成本，截止项目结束，2个项目总成本为21.8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中共特克斯县委员会政法委员</w:t>
      </w:r>
      <w:r>
        <w:rPr>
          <w:rStyle w:val="16"/>
          <w:rFonts w:hint="eastAsia" w:ascii="仿宋_GB2312" w:hAnsi="楷体" w:eastAsia="仿宋_GB2312"/>
          <w:b w:val="0"/>
          <w:color w:val="000000" w:themeColor="text1"/>
          <w:spacing w:val="-4"/>
          <w:sz w:val="28"/>
          <w:szCs w:val="28"/>
        </w:rPr>
        <w:t>会</w:t>
      </w:r>
      <w:r>
        <w:rPr>
          <w:rStyle w:val="16"/>
          <w:rFonts w:hint="eastAsia" w:ascii="仿宋_GB2312" w:hAnsi="楷体" w:eastAsia="仿宋_GB2312"/>
          <w:b w:val="0"/>
          <w:spacing w:val="-4"/>
          <w:sz w:val="28"/>
          <w:szCs w:val="28"/>
        </w:rPr>
        <w:t>所涉及专项项目使用资金比专项项目总预算减少0万元，</w:t>
      </w:r>
      <w:bookmarkStart w:id="21" w:name="_Hlk96097132"/>
      <w:r>
        <w:rPr>
          <w:rStyle w:val="16"/>
          <w:rFonts w:hint="eastAsia" w:ascii="仿宋_GB2312" w:hAnsi="楷体" w:eastAsia="仿宋_GB2312"/>
          <w:b w:val="0"/>
          <w:spacing w:val="-4"/>
          <w:sz w:val="28"/>
          <w:szCs w:val="28"/>
        </w:rPr>
        <w:t>项目节约率</w:t>
      </w:r>
      <w:bookmarkEnd w:id="21"/>
      <w:r>
        <w:rPr>
          <w:rStyle w:val="16"/>
          <w:rFonts w:hint="eastAsia" w:ascii="仿宋_GB2312" w:hAnsi="楷体" w:eastAsia="仿宋_GB2312"/>
          <w:b w:val="0"/>
          <w:spacing w:val="-4"/>
          <w:sz w:val="28"/>
          <w:szCs w:val="28"/>
        </w:rPr>
        <w:t>为0%。</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2021年中共特克斯县委员会政法委员</w:t>
      </w:r>
      <w:r>
        <w:rPr>
          <w:rStyle w:val="16"/>
          <w:rFonts w:hint="eastAsia" w:ascii="仿宋_GB2312" w:hAnsi="楷体" w:eastAsia="仿宋_GB2312"/>
          <w:b w:val="0"/>
          <w:color w:val="000000" w:themeColor="text1"/>
          <w:spacing w:val="-4"/>
          <w:sz w:val="28"/>
          <w:szCs w:val="28"/>
        </w:rPr>
        <w:t>会</w:t>
      </w:r>
      <w:r>
        <w:rPr>
          <w:rStyle w:val="16"/>
          <w:rFonts w:hint="eastAsia" w:ascii="仿宋_GB2312" w:hAnsi="楷体" w:eastAsia="仿宋_GB2312"/>
          <w:b w:val="0"/>
          <w:spacing w:val="-4"/>
          <w:sz w:val="28"/>
          <w:szCs w:val="28"/>
        </w:rPr>
        <w:t>共涉及专项项目2个，截止到2021年底，通过专项项目实施过程中的有效监督，我单位按预期完成了2个专项的各项专项任务，项目总体完成率为100%</w:t>
      </w:r>
      <w:r>
        <w:rPr>
          <w:rStyle w:val="16"/>
          <w:rFonts w:hint="eastAsia" w:ascii="仿宋_GB2312" w:hAnsi="楷体" w:eastAsia="仿宋_GB2312"/>
          <w:b w:val="0"/>
          <w:spacing w:val="-4"/>
          <w:sz w:val="28"/>
          <w:szCs w:val="28"/>
          <w:lang w:eastAsia="zh-CN"/>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hint="eastAsia" w:asciiTheme="minorEastAsia" w:hAnsiTheme="minorEastAsia"/>
          <w:bCs w:val="0"/>
          <w:color w:val="FF0000"/>
          <w:spacing w:val="-4"/>
          <w:sz w:val="28"/>
          <w:szCs w:val="28"/>
        </w:rPr>
      </w:pPr>
      <w:bookmarkStart w:id="22" w:name="_Hlk96100380"/>
      <w:r>
        <w:rPr>
          <w:rStyle w:val="16"/>
          <w:rFonts w:hint="eastAsia" w:ascii="仿宋_GB2312" w:hAnsi="楷体" w:eastAsia="仿宋_GB2312"/>
          <w:b w:val="0"/>
          <w:spacing w:val="-4"/>
          <w:sz w:val="28"/>
          <w:szCs w:val="28"/>
        </w:rPr>
        <w:t>2个专项项目完成质量情况如下：</w:t>
      </w:r>
      <w:bookmarkEnd w:id="22"/>
    </w:p>
    <w:p>
      <w:pPr>
        <w:pStyle w:val="20"/>
        <w:numPr>
          <w:ilvl w:val="0"/>
          <w:numId w:val="0"/>
        </w:numPr>
        <w:spacing w:line="360" w:lineRule="auto"/>
        <w:ind w:left="544" w:leftChars="0"/>
        <w:rPr>
          <w:rStyle w:val="16"/>
          <w:rFonts w:hint="eastAsia" w:ascii="仿宋_GB2312" w:hAnsi="楷体" w:eastAsia="仿宋_GB2312"/>
          <w:b w:val="0"/>
          <w:color w:val="FF0000"/>
          <w:spacing w:val="-4"/>
          <w:sz w:val="28"/>
          <w:szCs w:val="28"/>
        </w:rPr>
      </w:pP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双联户生活补助项目完成维护开展双联户创建工作，适应社会治理新要求的制度创新，是符合社会结构的历史选择，是建设平安特克斯县维护社会和谐稳定确保特克斯县长治久安，人民安居乐业。</w:t>
      </w:r>
    </w:p>
    <w:p>
      <w:pPr>
        <w:spacing w:line="360" w:lineRule="auto"/>
        <w:ind w:firstLine="544" w:firstLineChars="200"/>
        <w:rPr>
          <w:rStyle w:val="16"/>
          <w:rFonts w:ascii="仿宋_GB2312" w:hAnsi="楷体" w:eastAsia="仿宋_GB2312"/>
          <w:b w:val="0"/>
          <w:color w:val="FF0000"/>
          <w:spacing w:val="-4"/>
          <w:sz w:val="28"/>
          <w:szCs w:val="28"/>
        </w:rPr>
      </w:pPr>
      <w:r>
        <w:rPr>
          <w:rStyle w:val="16"/>
          <w:rFonts w:hint="eastAsia" w:ascii="仿宋_GB2312" w:hAnsi="楷体" w:eastAsia="仿宋_GB2312"/>
          <w:b w:val="0"/>
          <w:spacing w:val="-4"/>
          <w:sz w:val="28"/>
          <w:szCs w:val="28"/>
        </w:rPr>
        <w:t>②司法救助项目完成生活特别困难的执行案件。</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项目效益性分析</w:t>
      </w:r>
    </w:p>
    <w:p>
      <w:pPr>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2个专项项目预期目标完成程度、实施对经济和社会的影响如下：</w:t>
      </w:r>
    </w:p>
    <w:p>
      <w:pPr>
        <w:pStyle w:val="20"/>
        <w:spacing w:line="360" w:lineRule="auto"/>
        <w:ind w:left="904" w:firstLine="0" w:firstLineChars="0"/>
        <w:rPr>
          <w:rStyle w:val="16"/>
          <w:rFonts w:hint="eastAsia" w:ascii="仿宋_GB2312" w:hAnsi="楷体" w:eastAsia="仿宋_GB2312"/>
          <w:b w:val="0"/>
          <w:color w:val="FF0000"/>
          <w:spacing w:val="-4"/>
          <w:sz w:val="28"/>
          <w:szCs w:val="28"/>
        </w:rPr>
      </w:pPr>
      <w:r>
        <w:rPr>
          <w:rStyle w:val="16"/>
          <w:rFonts w:hint="eastAsia" w:ascii="仿宋_GB2312" w:hAnsi="楷体" w:eastAsia="仿宋_GB2312"/>
          <w:b w:val="0"/>
          <w:spacing w:val="-4"/>
          <w:sz w:val="28"/>
          <w:szCs w:val="28"/>
        </w:rPr>
        <w:t>1、</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双联户生活补助项目维护开展双联户创建工作，</w:t>
      </w:r>
    </w:p>
    <w:p>
      <w:pPr>
        <w:spacing w:line="360" w:lineRule="auto"/>
        <w:rPr>
          <w:rStyle w:val="16"/>
          <w:rFonts w:hint="eastAsia" w:ascii="仿宋_GB2312" w:hAnsi="楷体" w:eastAsia="仿宋_GB2312"/>
          <w:b w:val="0"/>
          <w:color w:val="FF0000"/>
          <w:spacing w:val="-4"/>
          <w:sz w:val="28"/>
          <w:szCs w:val="28"/>
        </w:rPr>
      </w:pPr>
      <w:r>
        <w:rPr>
          <w:rStyle w:val="16"/>
          <w:rFonts w:hint="eastAsia" w:ascii="仿宋_GB2312" w:hAnsi="楷体" w:eastAsia="仿宋_GB2312"/>
          <w:b w:val="0"/>
          <w:spacing w:val="-4"/>
          <w:sz w:val="28"/>
          <w:szCs w:val="28"/>
        </w:rPr>
        <w:t>适应社会治理新要求的制度创新，是符合社会结构的历史选择，是建设平安特克斯县维护社会和谐稳定确保特克斯县长治久安，人民安居乐业。</w:t>
      </w:r>
    </w:p>
    <w:p>
      <w:pPr>
        <w:pStyle w:val="20"/>
        <w:spacing w:line="360" w:lineRule="auto"/>
        <w:ind w:left="904" w:firstLine="0" w:firstLineChars="0"/>
        <w:rPr>
          <w:rStyle w:val="16"/>
          <w:rFonts w:hint="eastAsia" w:ascii="仿宋_GB2312" w:hAnsi="楷体" w:eastAsia="仿宋_GB2312"/>
          <w:b w:val="0"/>
          <w:color w:val="FF0000"/>
          <w:spacing w:val="-4"/>
          <w:sz w:val="28"/>
          <w:szCs w:val="28"/>
        </w:rPr>
      </w:pPr>
      <w:r>
        <w:rPr>
          <w:rStyle w:val="16"/>
          <w:rFonts w:hint="eastAsia" w:ascii="仿宋_GB2312" w:hAnsi="楷体" w:eastAsia="仿宋_GB2312"/>
          <w:b w:val="0"/>
          <w:spacing w:val="-4"/>
          <w:sz w:val="28"/>
          <w:szCs w:val="28"/>
        </w:rPr>
        <w:t>2、司法救助项目完成主要用于执行人确无执行能力而申请</w:t>
      </w:r>
    </w:p>
    <w:p>
      <w:pPr>
        <w:spacing w:line="360" w:lineRule="auto"/>
        <w:rPr>
          <w:rStyle w:val="16"/>
          <w:rFonts w:ascii="仿宋_GB2312" w:hAnsi="楷体" w:eastAsia="仿宋_GB2312"/>
          <w:b w:val="0"/>
          <w:color w:val="FF0000"/>
          <w:spacing w:val="-4"/>
          <w:sz w:val="28"/>
          <w:szCs w:val="28"/>
        </w:rPr>
      </w:pPr>
      <w:r>
        <w:rPr>
          <w:rStyle w:val="16"/>
          <w:rFonts w:hint="eastAsia" w:ascii="仿宋_GB2312" w:hAnsi="楷体" w:eastAsia="仿宋_GB2312"/>
          <w:b w:val="0"/>
          <w:spacing w:val="-4"/>
          <w:sz w:val="28"/>
          <w:szCs w:val="28"/>
        </w:rPr>
        <w:t>执行人又生活特别困难的执行案件。</w:t>
      </w:r>
    </w:p>
    <w:p>
      <w:pPr>
        <w:ind w:firstLine="544" w:firstLineChars="200"/>
        <w:rPr>
          <w:rStyle w:val="16"/>
          <w:rFonts w:ascii="仿宋_GB2312" w:hAnsi="楷体" w:eastAsia="仿宋_GB2312"/>
          <w:b w:val="0"/>
          <w:bCs w:val="0"/>
          <w:spacing w:val="-4"/>
          <w:sz w:val="28"/>
          <w:szCs w:val="28"/>
        </w:rPr>
      </w:pPr>
    </w:p>
    <w:p/>
    <w:p>
      <w:pPr>
        <w:pStyle w:val="3"/>
        <w:spacing w:line="360" w:lineRule="auto"/>
        <w:rPr>
          <w:rFonts w:ascii="仿宋" w:hAnsi="仿宋" w:eastAsia="仿宋"/>
          <w:sz w:val="36"/>
          <w:szCs w:val="36"/>
        </w:rPr>
      </w:pPr>
      <w:bookmarkStart w:id="23" w:name="_Toc70450310"/>
      <w:r>
        <w:rPr>
          <w:rFonts w:hint="eastAsia" w:ascii="仿宋" w:hAnsi="仿宋" w:eastAsia="仿宋"/>
          <w:sz w:val="36"/>
          <w:szCs w:val="36"/>
        </w:rPr>
        <w:t>四、资产管理情况</w:t>
      </w:r>
      <w:bookmarkEnd w:id="23"/>
    </w:p>
    <w:p>
      <w:pPr>
        <w:pStyle w:val="4"/>
        <w:spacing w:line="360" w:lineRule="auto"/>
        <w:rPr>
          <w:rStyle w:val="16"/>
          <w:rFonts w:ascii="仿宋" w:hAnsi="仿宋" w:eastAsia="仿宋"/>
          <w:b/>
          <w:bCs/>
        </w:rPr>
      </w:pPr>
      <w:bookmarkStart w:id="24" w:name="_Toc70450311"/>
      <w:r>
        <w:rPr>
          <w:rStyle w:val="16"/>
          <w:rFonts w:hint="eastAsia" w:ascii="仿宋" w:hAnsi="仿宋" w:eastAsia="仿宋"/>
          <w:b/>
          <w:bCs/>
        </w:rPr>
        <w:t>（一）资产配置情况</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2021年我</w:t>
      </w:r>
      <w:r>
        <w:rPr>
          <w:rStyle w:val="16"/>
          <w:rFonts w:hint="eastAsia" w:ascii="仿宋_GB2312" w:hAnsi="楷体" w:eastAsia="仿宋_GB2312"/>
          <w:b w:val="0"/>
          <w:color w:val="000000" w:themeColor="text1"/>
          <w:spacing w:val="-4"/>
          <w:sz w:val="28"/>
          <w:szCs w:val="28"/>
        </w:rPr>
        <w:t>单位</w:t>
      </w:r>
      <w:r>
        <w:rPr>
          <w:rStyle w:val="16"/>
          <w:rFonts w:hint="eastAsia" w:ascii="仿宋_GB2312" w:hAnsi="宋体" w:eastAsia="仿宋_GB2312"/>
          <w:b w:val="0"/>
          <w:bCs w:val="0"/>
          <w:spacing w:val="-4"/>
          <w:sz w:val="28"/>
          <w:szCs w:val="28"/>
        </w:rPr>
        <w:t>资产总额218.70万元，其中流动资产0万元，固定资产净值218.70万元（其中：土地、房屋及构筑物0万元，占固定资产净值的</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%；通用设备179.75</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万元，占固定资产净值的82.19%；专用设备</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38.96万元，占固定资产净值的17.81%；其他）。</w:t>
      </w:r>
    </w:p>
    <w:p>
      <w:pPr>
        <w:spacing w:line="360" w:lineRule="auto"/>
        <w:ind w:firstLine="544" w:firstLineChars="200"/>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rPr>
        <w:t>本年度流动资产0万元，比上年增加0万元，原因是：无</w:t>
      </w:r>
      <w:r>
        <w:rPr>
          <w:rStyle w:val="16"/>
          <w:rFonts w:hint="eastAsia" w:ascii="仿宋_GB2312" w:hAnsi="宋体" w:eastAsia="仿宋_GB2312"/>
          <w:b w:val="0"/>
          <w:bCs w:val="0"/>
          <w:spacing w:val="-4"/>
          <w:sz w:val="28"/>
          <w:szCs w:val="28"/>
          <w:lang w:val="en-US" w:eastAsia="zh-CN"/>
        </w:rPr>
        <w:t>变化。</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本年度固定资产218.70万元，比上年增加27.76万元，原因是： 本年度购置了一批固定资产。</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实际在用固定资产218.70万元，固定资产利用率100%。</w:t>
      </w:r>
    </w:p>
    <w:p>
      <w:pPr>
        <w:pStyle w:val="4"/>
        <w:spacing w:line="360" w:lineRule="auto"/>
        <w:rPr>
          <w:rStyle w:val="16"/>
          <w:rFonts w:ascii="仿宋" w:hAnsi="仿宋" w:eastAsia="仿宋"/>
          <w:b/>
          <w:bCs/>
        </w:rPr>
      </w:pPr>
      <w:bookmarkStart w:id="25" w:name="_Toc70450312"/>
      <w:r>
        <w:rPr>
          <w:rStyle w:val="16"/>
          <w:rFonts w:hint="eastAsia" w:ascii="仿宋" w:hAnsi="仿宋" w:eastAsia="仿宋"/>
          <w:b/>
          <w:bCs/>
        </w:rPr>
        <w:t>（二）资产管理情况</w:t>
      </w:r>
      <w:bookmarkEnd w:id="25"/>
    </w:p>
    <w:p>
      <w:pPr>
        <w:spacing w:line="360" w:lineRule="auto"/>
        <w:ind w:firstLine="544" w:firstLineChars="200"/>
        <w:rPr>
          <w:rStyle w:val="16"/>
          <w:rFonts w:ascii="仿宋_GB2312" w:hAnsi="宋体" w:eastAsia="仿宋_GB2312"/>
          <w:b w:val="0"/>
          <w:color w:val="000000" w:themeColor="text1"/>
          <w:spacing w:val="-4"/>
          <w:sz w:val="28"/>
          <w:szCs w:val="28"/>
        </w:rPr>
      </w:pPr>
      <w:r>
        <w:rPr>
          <w:rStyle w:val="16"/>
          <w:rFonts w:hint="eastAsia" w:ascii="仿宋_GB2312" w:hAnsi="宋体" w:eastAsia="仿宋_GB2312"/>
          <w:b w:val="0"/>
          <w:color w:val="000000" w:themeColor="text1"/>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宋体" w:eastAsia="仿宋_GB2312"/>
          <w:b w:val="0"/>
          <w:color w:val="000000" w:themeColor="text1"/>
          <w:spacing w:val="-4"/>
          <w:sz w:val="28"/>
          <w:szCs w:val="28"/>
        </w:rPr>
      </w:pPr>
      <w:r>
        <w:rPr>
          <w:rStyle w:val="16"/>
          <w:rFonts w:hint="eastAsia" w:ascii="仿宋_GB2312" w:hAnsi="宋体" w:eastAsia="仿宋_GB2312"/>
          <w:b w:val="0"/>
          <w:color w:val="000000" w:themeColor="text1"/>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color w:val="000000" w:themeColor="text1"/>
          <w:spacing w:val="-4"/>
          <w:sz w:val="28"/>
          <w:szCs w:val="28"/>
        </w:rPr>
      </w:pPr>
    </w:p>
    <w:p>
      <w:pPr>
        <w:pStyle w:val="3"/>
        <w:spacing w:line="360" w:lineRule="auto"/>
        <w:rPr>
          <w:rFonts w:ascii="仿宋" w:hAnsi="仿宋" w:eastAsia="仿宋"/>
          <w:sz w:val="36"/>
          <w:szCs w:val="36"/>
        </w:rPr>
      </w:pPr>
      <w:bookmarkStart w:id="26" w:name="_Toc70450313"/>
      <w:r>
        <w:rPr>
          <w:rFonts w:hint="eastAsia" w:ascii="仿宋" w:hAnsi="仿宋" w:eastAsia="仿宋"/>
          <w:sz w:val="36"/>
          <w:szCs w:val="36"/>
        </w:rPr>
        <w:t>五、部门单位整体支出绩效情况</w:t>
      </w:r>
      <w:bookmarkEnd w:id="26"/>
    </w:p>
    <w:p>
      <w:pPr>
        <w:pStyle w:val="4"/>
        <w:spacing w:line="360" w:lineRule="auto"/>
        <w:ind w:firstLine="643" w:firstLineChars="200"/>
        <w:rPr>
          <w:rStyle w:val="16"/>
          <w:rFonts w:ascii="仿宋" w:hAnsi="仿宋" w:eastAsia="仿宋"/>
          <w:b/>
          <w:bCs/>
        </w:rPr>
      </w:pPr>
      <w:bookmarkStart w:id="27" w:name="_Toc70450314"/>
      <w:r>
        <w:rPr>
          <w:rStyle w:val="16"/>
          <w:rFonts w:hint="eastAsia" w:ascii="仿宋" w:hAnsi="仿宋" w:eastAsia="仿宋"/>
          <w:b/>
          <w:bCs/>
        </w:rPr>
        <w:t>（一）经济效益评价</w:t>
      </w:r>
      <w:bookmarkEnd w:id="27"/>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202年度我单位年初预算安排412.49万元，年中调整517.24万元，截止12月底支出929.73万元，执行率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8" w:name="_Toc70450315"/>
      <w:r>
        <w:rPr>
          <w:rStyle w:val="16"/>
          <w:rFonts w:hint="eastAsia" w:ascii="仿宋" w:hAnsi="仿宋" w:eastAsia="仿宋"/>
          <w:b/>
          <w:bCs/>
        </w:rPr>
        <w:t>（二）效率性评价</w:t>
      </w:r>
      <w:bookmarkEnd w:id="28"/>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2021年，在特克斯县委的大力支持和的正确领导下，我</w:t>
      </w:r>
      <w:r>
        <w:rPr>
          <w:rStyle w:val="16"/>
          <w:rFonts w:hint="eastAsia" w:ascii="仿宋_GB2312" w:hAnsi="楷体" w:eastAsia="仿宋_GB2312"/>
          <w:b w:val="0"/>
          <w:spacing w:val="-4"/>
          <w:sz w:val="28"/>
          <w:szCs w:val="28"/>
        </w:rPr>
        <w:t>单位</w:t>
      </w:r>
      <w:r>
        <w:rPr>
          <w:rStyle w:val="16"/>
          <w:rFonts w:hint="eastAsia" w:ascii="仿宋_GB2312" w:hAnsi="宋体" w:eastAsia="仿宋_GB2312"/>
          <w:b w:val="0"/>
          <w:bCs w:val="0"/>
          <w:spacing w:val="-4"/>
          <w:sz w:val="28"/>
          <w:szCs w:val="28"/>
        </w:rPr>
        <w:t>迎难而上、务实重干，积极推动各项工作取得了新的进展，为促进社会和谐稳定提供了有力的支撑和保障。</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1、圆满完成2021年各项工作</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在自治区、自治州党的坚强领导下，完整准确贯彻新时代党的治疆方略，牢牢扭住社会稳定和长治久安总目标，全县政法干部以强烈的政治担当，使命担当、责任担当，同心同德，砥砺奋进，全力保持了我县社会大局持续稳定，圆满完成了全年各项工作任务。</w:t>
      </w:r>
    </w:p>
    <w:p>
      <w:pPr>
        <w:pStyle w:val="20"/>
        <w:numPr>
          <w:ilvl w:val="0"/>
          <w:numId w:val="3"/>
        </w:numPr>
        <w:tabs>
          <w:tab w:val="left" w:pos="312"/>
        </w:tabs>
        <w:spacing w:line="360" w:lineRule="auto"/>
        <w:ind w:firstLineChars="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各项目工作任务提前完成</w:t>
      </w:r>
    </w:p>
    <w:p>
      <w:pPr>
        <w:pStyle w:val="20"/>
        <w:spacing w:line="540" w:lineRule="exact"/>
        <w:ind w:left="140" w:firstLineChars="150"/>
        <w:rPr>
          <w:rFonts w:ascii="仿宋_GB2312" w:eastAsia="仿宋_GB2312" w:cs="Times New Roman"/>
          <w:kern w:val="0"/>
          <w:sz w:val="28"/>
          <w:szCs w:val="28"/>
          <w:lang w:val="zh-CN"/>
        </w:rPr>
      </w:pPr>
      <w:r>
        <w:rPr>
          <w:rFonts w:hint="eastAsia" w:ascii="仿宋_GB2312" w:hAnsi="Times New Roman" w:eastAsia="仿宋_GB2312" w:cs="Times New Roman"/>
          <w:kern w:val="0"/>
          <w:sz w:val="28"/>
          <w:szCs w:val="28"/>
          <w:lang w:val="zh-CN"/>
        </w:rPr>
        <w:t>紧扣“四项任务”，聚焦“顽疾整治”，坚持教育在先、警示在先、预防在先，不断筑牢政法队伍思想防线。</w:t>
      </w:r>
      <w:r>
        <w:rPr>
          <w:rFonts w:hint="eastAsia" w:ascii="仿宋_GB2312" w:hAnsi="Times New Roman" w:eastAsia="仿宋_GB2312" w:cs="Times New Roman"/>
          <w:bCs/>
          <w:kern w:val="0"/>
          <w:sz w:val="28"/>
          <w:szCs w:val="28"/>
        </w:rPr>
        <w:t>突出政治过硬，站稳政治立场</w:t>
      </w:r>
      <w:r>
        <w:rPr>
          <w:rFonts w:hint="eastAsia" w:ascii="仿宋_GB2312" w:hAnsi="Times New Roman" w:eastAsia="仿宋_GB2312" w:cs="Times New Roman"/>
          <w:kern w:val="0"/>
          <w:sz w:val="28"/>
          <w:szCs w:val="28"/>
        </w:rPr>
        <w:t>，政法委各项工作提前完成。</w:t>
      </w:r>
    </w:p>
    <w:p>
      <w:pPr>
        <w:pStyle w:val="20"/>
        <w:numPr>
          <w:ilvl w:val="0"/>
          <w:numId w:val="0"/>
        </w:numPr>
        <w:tabs>
          <w:tab w:val="left" w:pos="312"/>
        </w:tabs>
        <w:spacing w:line="360" w:lineRule="auto"/>
        <w:ind w:leftChars="200"/>
        <w:jc w:val="left"/>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3、</w:t>
      </w:r>
      <w:r>
        <w:rPr>
          <w:rStyle w:val="16"/>
          <w:rFonts w:hint="eastAsia" w:ascii="仿宋_GB2312" w:hAnsi="宋体" w:eastAsia="仿宋_GB2312"/>
          <w:b w:val="0"/>
          <w:bCs w:val="0"/>
          <w:spacing w:val="-4"/>
          <w:sz w:val="28"/>
          <w:szCs w:val="28"/>
        </w:rPr>
        <w:t>各项工作成效显著</w:t>
      </w:r>
    </w:p>
    <w:p>
      <w:pPr>
        <w:spacing w:line="360" w:lineRule="auto"/>
        <w:ind w:firstLine="560" w:firstLineChars="200"/>
        <w:rPr>
          <w:rFonts w:hint="eastAsia" w:ascii="仿宋_GB2312" w:hAnsi="Times New Roman" w:eastAsia="仿宋_GB2312" w:cs="Times New Roman"/>
          <w:sz w:val="28"/>
          <w:szCs w:val="28"/>
          <w:lang w:val="zh-CN"/>
        </w:rPr>
      </w:pPr>
      <w:r>
        <w:rPr>
          <w:rFonts w:hint="eastAsia" w:ascii="仿宋_GB2312" w:hAnsi="Times New Roman" w:eastAsia="仿宋_GB2312" w:cs="Times New Roman"/>
          <w:sz w:val="28"/>
          <w:szCs w:val="28"/>
          <w:lang w:val="zh-CN"/>
        </w:rPr>
        <w:t>围绕自治区、自治州党委和县委高度重视顺利完成了（一）强化政治淬炼，政法铁军队伍不断夯实。（二）聚焦总目标，捍卫国家政治安全水平显著提高。（三）保持严打高压态势，严打攻坚斗争取得新成果。（四）压实包联责任，坚持以就业促稳定，群众工作成效显著。（五）强化练兵备战，社会面防控水平显著提升等。</w:t>
      </w:r>
    </w:p>
    <w:p>
      <w:pPr>
        <w:pStyle w:val="20"/>
        <w:numPr>
          <w:ilvl w:val="0"/>
          <w:numId w:val="0"/>
        </w:numPr>
        <w:tabs>
          <w:tab w:val="left" w:pos="312"/>
        </w:tabs>
        <w:spacing w:line="360" w:lineRule="auto"/>
        <w:ind w:left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highlight w:val="none"/>
          <w:lang w:val="en-US" w:eastAsia="zh-CN"/>
        </w:rPr>
        <w:t>4、2</w:t>
      </w:r>
      <w:r>
        <w:rPr>
          <w:rStyle w:val="16"/>
          <w:rFonts w:hint="eastAsia" w:ascii="仿宋_GB2312" w:hAnsi="宋体" w:eastAsia="仿宋_GB2312"/>
          <w:b w:val="0"/>
          <w:bCs w:val="0"/>
          <w:spacing w:val="-4"/>
          <w:sz w:val="28"/>
          <w:szCs w:val="28"/>
          <w:highlight w:val="none"/>
        </w:rPr>
        <w:t>02</w:t>
      </w:r>
      <w:r>
        <w:rPr>
          <w:rStyle w:val="16"/>
          <w:rFonts w:hint="eastAsia" w:ascii="仿宋_GB2312" w:hAnsi="宋体" w:eastAsia="仿宋_GB2312"/>
          <w:b w:val="0"/>
          <w:bCs w:val="0"/>
          <w:spacing w:val="-4"/>
          <w:sz w:val="28"/>
          <w:szCs w:val="28"/>
        </w:rPr>
        <w:t>1年在自治区、自治州党的坚强领导下，完整准确贯彻新时</w:t>
      </w:r>
    </w:p>
    <w:p>
      <w:pPr>
        <w:pStyle w:val="20"/>
        <w:numPr>
          <w:ilvl w:val="0"/>
          <w:numId w:val="0"/>
        </w:numPr>
        <w:tabs>
          <w:tab w:val="left" w:pos="312"/>
        </w:tabs>
        <w:spacing w:line="360" w:lineRule="auto"/>
        <w:rPr>
          <w:rStyle w:val="16"/>
          <w:rFonts w:hint="eastAsia" w:ascii="仿宋_GB2312" w:hAnsi="宋体" w:eastAsia="仿宋_GB2312"/>
          <w:b w:val="0"/>
          <w:bCs w:val="0"/>
          <w:spacing w:val="-4"/>
          <w:sz w:val="28"/>
          <w:szCs w:val="28"/>
          <w:highlight w:val="none"/>
          <w:lang w:eastAsia="zh-CN"/>
        </w:rPr>
      </w:pPr>
      <w:r>
        <w:rPr>
          <w:rStyle w:val="16"/>
          <w:rFonts w:hint="eastAsia" w:ascii="仿宋_GB2312" w:hAnsi="宋体" w:eastAsia="仿宋_GB2312"/>
          <w:b w:val="0"/>
          <w:bCs w:val="0"/>
          <w:spacing w:val="-4"/>
          <w:sz w:val="28"/>
          <w:szCs w:val="28"/>
        </w:rPr>
        <w:t>代党的治疆方略，牢牢扭住社会稳定和长治久安总目标，全县政法干部以强烈的政治担当，使命担当、责任担当，同心同德，砥砺奋进，全力保持了我县社会大局持续稳定，圆满完成了全年各项工作任</w:t>
      </w:r>
      <w:r>
        <w:rPr>
          <w:rStyle w:val="16"/>
          <w:rFonts w:hint="eastAsia" w:ascii="仿宋_GB2312" w:hAnsi="宋体" w:eastAsia="仿宋_GB2312"/>
          <w:b w:val="0"/>
          <w:bCs w:val="0"/>
          <w:spacing w:val="-4"/>
          <w:sz w:val="28"/>
          <w:szCs w:val="28"/>
          <w:highlight w:val="none"/>
        </w:rPr>
        <w:t>务全面达标，群众满意度</w:t>
      </w:r>
      <w:r>
        <w:rPr>
          <w:rStyle w:val="16"/>
          <w:rFonts w:hint="eastAsia" w:ascii="仿宋_GB2312" w:hAnsi="宋体" w:eastAsia="仿宋_GB2312"/>
          <w:b w:val="0"/>
          <w:bCs w:val="0"/>
          <w:spacing w:val="-4"/>
          <w:sz w:val="28"/>
          <w:szCs w:val="28"/>
          <w:highlight w:val="none"/>
          <w:lang w:eastAsia="zh-CN"/>
        </w:rPr>
        <w:t>很</w:t>
      </w:r>
      <w:r>
        <w:rPr>
          <w:rStyle w:val="16"/>
          <w:rFonts w:hint="eastAsia" w:ascii="仿宋_GB2312" w:hAnsi="宋体" w:eastAsia="仿宋_GB2312"/>
          <w:b w:val="0"/>
          <w:bCs w:val="0"/>
          <w:spacing w:val="-4"/>
          <w:sz w:val="28"/>
          <w:szCs w:val="28"/>
          <w:highlight w:val="none"/>
        </w:rPr>
        <w:t>高</w:t>
      </w:r>
      <w:r>
        <w:rPr>
          <w:rStyle w:val="16"/>
          <w:rFonts w:hint="eastAsia" w:ascii="仿宋_GB2312" w:hAnsi="宋体" w:eastAsia="仿宋_GB2312"/>
          <w:b w:val="0"/>
          <w:bCs w:val="0"/>
          <w:spacing w:val="-4"/>
          <w:sz w:val="28"/>
          <w:szCs w:val="28"/>
          <w:highlight w:val="none"/>
          <w:lang w:eastAsia="zh-CN"/>
        </w:rPr>
        <w:t>。</w:t>
      </w:r>
    </w:p>
    <w:p>
      <w:pPr>
        <w:spacing w:line="360" w:lineRule="auto"/>
        <w:ind w:firstLine="560" w:firstLineChars="200"/>
        <w:rPr>
          <w:rFonts w:hint="eastAsia" w:ascii="仿宋_GB2312" w:hAnsi="Times New Roman" w:eastAsia="仿宋_GB2312" w:cs="Times New Roman"/>
          <w:sz w:val="28"/>
          <w:szCs w:val="28"/>
          <w:lang w:val="zh-CN"/>
        </w:rPr>
      </w:pPr>
    </w:p>
    <w:p>
      <w:pPr>
        <w:pStyle w:val="4"/>
        <w:spacing w:line="360" w:lineRule="auto"/>
        <w:ind w:firstLine="643" w:firstLineChars="200"/>
        <w:rPr>
          <w:rStyle w:val="16"/>
          <w:rFonts w:ascii="仿宋" w:hAnsi="仿宋" w:eastAsia="仿宋"/>
          <w:b/>
          <w:bCs/>
        </w:rPr>
      </w:pPr>
      <w:bookmarkStart w:id="29" w:name="_Toc70450316"/>
      <w:r>
        <w:rPr>
          <w:rStyle w:val="16"/>
          <w:rFonts w:hint="eastAsia" w:ascii="仿宋" w:hAnsi="仿宋" w:eastAsia="仿宋"/>
          <w:b/>
          <w:bCs/>
        </w:rPr>
        <w:t>（三）有效性评价</w:t>
      </w:r>
      <w:bookmarkEnd w:id="29"/>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部门支出的有效性主要体现在我单位各项工作成效上，一是确保各部门工作顺利开展，保障机关工作正常高效运转，提高工作人员能力，提高资金使用效益。二是预算执行得到加强。三是建立健全全面规范、公开透明的预算制度，保障经济社会的健康发展。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rPr>
        <w:t>中共特克斯县委员会政法委员会以部门单位整体绩效目标共设置一级指标 3 个，二级指标6个，三级指标 13个，详细说明如下</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1</w:t>
      </w:r>
      <w:r>
        <w:rPr>
          <w:rStyle w:val="16"/>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指标1：人员保障人数，指标值：≥51人，实际完成值：51</w:t>
      </w:r>
      <w:r>
        <w:rPr>
          <w:rStyle w:val="16"/>
          <w:rFonts w:hint="eastAsia" w:ascii="仿宋_GB2312" w:hAnsi="宋体" w:eastAsia="仿宋_GB2312"/>
          <w:b w:val="0"/>
          <w:spacing w:val="-4"/>
          <w:sz w:val="28"/>
          <w:szCs w:val="28"/>
          <w:highlight w:val="none"/>
          <w:lang w:val="en-US" w:eastAsia="zh-CN"/>
        </w:rPr>
        <w:t>人</w:t>
      </w:r>
      <w:r>
        <w:rPr>
          <w:rStyle w:val="16"/>
          <w:rFonts w:hint="eastAsia" w:ascii="仿宋_GB2312" w:hAnsi="宋体" w:eastAsia="仿宋_GB2312"/>
          <w:b w:val="0"/>
          <w:spacing w:val="-4"/>
          <w:sz w:val="28"/>
          <w:szCs w:val="28"/>
          <w:highlight w:val="none"/>
        </w:rPr>
        <w:t xml:space="preserve"> ，指标完成率100%；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：退休人员数，指标值：≥8人，实际完成值：8</w:t>
      </w:r>
      <w:r>
        <w:rPr>
          <w:rStyle w:val="16"/>
          <w:rFonts w:hint="eastAsia" w:ascii="仿宋_GB2312" w:hAnsi="宋体" w:eastAsia="仿宋_GB2312"/>
          <w:b w:val="0"/>
          <w:spacing w:val="-4"/>
          <w:sz w:val="28"/>
          <w:szCs w:val="28"/>
          <w:highlight w:val="none"/>
          <w:lang w:val="en-US" w:eastAsia="zh-CN"/>
        </w:rPr>
        <w:t>人</w:t>
      </w:r>
      <w:r>
        <w:rPr>
          <w:rStyle w:val="16"/>
          <w:rFonts w:hint="eastAsia" w:ascii="仿宋_GB2312" w:hAnsi="宋体" w:eastAsia="仿宋_GB2312"/>
          <w:b w:val="0"/>
          <w:spacing w:val="-4"/>
          <w:sz w:val="28"/>
          <w:szCs w:val="28"/>
          <w:highlight w:val="none"/>
        </w:rPr>
        <w:t xml:space="preserve"> ，指标完成率100%；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指标3：保障日常办公用车数量，指标值: ≥3辆，实际完成值：3</w:t>
      </w:r>
      <w:r>
        <w:rPr>
          <w:rStyle w:val="16"/>
          <w:rFonts w:hint="eastAsia" w:ascii="仿宋_GB2312" w:hAnsi="宋体" w:eastAsia="仿宋_GB2312"/>
          <w:b w:val="0"/>
          <w:spacing w:val="-4"/>
          <w:sz w:val="28"/>
          <w:szCs w:val="28"/>
          <w:highlight w:val="none"/>
          <w:lang w:val="en-US" w:eastAsia="zh-CN"/>
        </w:rPr>
        <w:t>辆</w:t>
      </w:r>
      <w:r>
        <w:rPr>
          <w:rStyle w:val="16"/>
          <w:rFonts w:hint="eastAsia" w:ascii="仿宋_GB2312" w:hAnsi="宋体" w:eastAsia="仿宋_GB2312"/>
          <w:b w:val="0"/>
          <w:spacing w:val="-4"/>
          <w:sz w:val="28"/>
          <w:szCs w:val="28"/>
          <w:highlight w:val="none"/>
        </w:rPr>
        <w:t>，指标完成率100%。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指标1：工资及公用经费保障率，指标值：≥95</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，实际完成值：95</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3</w:t>
      </w:r>
      <w:r>
        <w:rPr>
          <w:rStyle w:val="16"/>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指标1：资金发放及时性，指标值：≥95</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，实际完成值：95</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：日常办公用车保障经费，指标值：≥95</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，实际完成值：95</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4</w:t>
      </w:r>
      <w:r>
        <w:rPr>
          <w:rStyle w:val="16"/>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指标1：保障人员人均支出标准，指标值：≤7.6万元 ，实际完成值：</w:t>
      </w:r>
      <w:r>
        <w:rPr>
          <w:rStyle w:val="16"/>
          <w:rFonts w:hint="eastAsia" w:ascii="仿宋_GB2312" w:hAnsi="宋体" w:eastAsia="仿宋_GB2312"/>
          <w:b w:val="0"/>
          <w:spacing w:val="-4"/>
          <w:sz w:val="28"/>
          <w:szCs w:val="28"/>
          <w:highlight w:val="none"/>
          <w:lang w:val="en-US" w:eastAsia="zh-CN"/>
        </w:rPr>
        <w:t>7.6</w:t>
      </w:r>
      <w:r>
        <w:rPr>
          <w:rStyle w:val="16"/>
          <w:rFonts w:hint="eastAsia" w:ascii="仿宋_GB2312" w:hAnsi="宋体" w:eastAsia="仿宋_GB2312"/>
          <w:b w:val="0"/>
          <w:spacing w:val="-4"/>
          <w:sz w:val="28"/>
          <w:szCs w:val="28"/>
          <w:highlight w:val="none"/>
        </w:rPr>
        <w:t>万元 ，指标完成率100%；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 xml:space="preserve">：人均运转经费，指标值≤400 </w:t>
      </w:r>
      <w:r>
        <w:rPr>
          <w:rStyle w:val="16"/>
          <w:rFonts w:hint="eastAsia" w:ascii="仿宋_GB2312" w:hAnsi="宋体" w:eastAsia="仿宋_GB2312"/>
          <w:b w:val="0"/>
          <w:spacing w:val="-4"/>
          <w:sz w:val="28"/>
          <w:szCs w:val="28"/>
          <w:highlight w:val="none"/>
          <w:lang w:eastAsia="zh-CN"/>
        </w:rPr>
        <w:t>元</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400</w:t>
      </w:r>
      <w:r>
        <w:rPr>
          <w:rStyle w:val="16"/>
          <w:rFonts w:hint="eastAsia" w:ascii="仿宋_GB2312" w:hAnsi="宋体" w:eastAsia="仿宋_GB2312"/>
          <w:b w:val="0"/>
          <w:spacing w:val="-4"/>
          <w:sz w:val="28"/>
          <w:szCs w:val="28"/>
          <w:highlight w:val="none"/>
        </w:rPr>
        <w:t>元，指标完成率100%；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指标3：日常办公用车保障经费，指标值</w:t>
      </w:r>
      <w:r>
        <w:rPr>
          <w:rStyle w:val="16"/>
          <w:rFonts w:hint="eastAsia" w:ascii="仿宋_GB2312" w:hAnsi="宋体" w:eastAsia="仿宋_GB2312"/>
          <w:b w:val="0"/>
          <w:spacing w:val="-4"/>
          <w:sz w:val="28"/>
          <w:szCs w:val="28"/>
          <w:highlight w:val="none"/>
          <w:lang w:val="en-US" w:eastAsia="zh-CN"/>
        </w:rPr>
        <w:t>1</w:t>
      </w:r>
      <w:r>
        <w:rPr>
          <w:rStyle w:val="16"/>
          <w:rFonts w:hint="eastAsia" w:ascii="仿宋_GB2312" w:hAnsi="宋体" w:eastAsia="仿宋_GB2312"/>
          <w:b w:val="0"/>
          <w:spacing w:val="-4"/>
          <w:sz w:val="28"/>
          <w:szCs w:val="28"/>
          <w:highlight w:val="none"/>
        </w:rPr>
        <w:t>万元，实际完成值：</w:t>
      </w:r>
      <w:r>
        <w:rPr>
          <w:rStyle w:val="16"/>
          <w:rFonts w:hint="eastAsia" w:ascii="仿宋_GB2312" w:hAnsi="宋体" w:eastAsia="仿宋_GB2312"/>
          <w:b w:val="0"/>
          <w:spacing w:val="-4"/>
          <w:sz w:val="28"/>
          <w:szCs w:val="28"/>
          <w:highlight w:val="none"/>
          <w:lang w:val="en-US" w:eastAsia="zh-CN"/>
        </w:rPr>
        <w:t>1</w:t>
      </w:r>
      <w:r>
        <w:rPr>
          <w:rStyle w:val="16"/>
          <w:rFonts w:hint="eastAsia" w:ascii="仿宋_GB2312" w:hAnsi="宋体" w:eastAsia="仿宋_GB2312"/>
          <w:b w:val="0"/>
          <w:spacing w:val="-4"/>
          <w:sz w:val="28"/>
          <w:szCs w:val="28"/>
          <w:highlight w:val="none"/>
        </w:rPr>
        <w:t>万元，指标完成率100%；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5、社会效益指标：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指标1：提高机关办事效益，指标值：有效提高，实际完成值：有效提高，指标完成率100%；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：促进部门提高行政效率，指标值：有效促进，实际完成值：在效促进，指标完成率100%；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9</w:t>
      </w:r>
      <w:r>
        <w:rPr>
          <w:rStyle w:val="16"/>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指标1：职工满意度，指标值：95%，实际完成值：95% ，指标完成率95%，指标完成率100%；</w:t>
      </w:r>
    </w:p>
    <w:p>
      <w:pPr>
        <w:snapToGrid w:val="0"/>
        <w:spacing w:line="360" w:lineRule="auto"/>
        <w:ind w:firstLine="544" w:firstLineChars="200"/>
        <w:rPr>
          <w:rStyle w:val="16"/>
          <w:rFonts w:hint="eastAsia" w:ascii="仿宋_GB2312" w:hAnsi="宋体" w:eastAsia="仿宋_GB2312"/>
          <w:b w:val="0"/>
          <w:spacing w:val="-4"/>
          <w:sz w:val="28"/>
          <w:szCs w:val="28"/>
          <w:highlight w:val="none"/>
          <w:lang w:eastAsia="zh-CN"/>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 法治宣讲对象满意度，指标值：90%，实际完成值：90</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pStyle w:val="3"/>
        <w:spacing w:line="360" w:lineRule="auto"/>
        <w:rPr>
          <w:rFonts w:ascii="仿宋" w:hAnsi="仿宋" w:eastAsia="仿宋"/>
          <w:sz w:val="36"/>
          <w:szCs w:val="36"/>
        </w:rPr>
      </w:pPr>
      <w:bookmarkStart w:id="30" w:name="_Toc70450317"/>
      <w:r>
        <w:rPr>
          <w:rFonts w:hint="eastAsia" w:ascii="仿宋" w:hAnsi="仿宋" w:eastAsia="仿宋"/>
          <w:sz w:val="36"/>
          <w:szCs w:val="36"/>
        </w:rPr>
        <w:t>六、存在的主要问题</w:t>
      </w:r>
      <w:bookmarkEnd w:id="30"/>
    </w:p>
    <w:p>
      <w:pPr>
        <w:pStyle w:val="12"/>
        <w:widowControl/>
        <w:spacing w:before="40" w:beforeAutospacing="0" w:after="0" w:afterAutospacing="0" w:line="520" w:lineRule="atLeas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(一)预算执行存在偏差</w:t>
      </w:r>
    </w:p>
    <w:p>
      <w:pPr>
        <w:pStyle w:val="12"/>
        <w:widowControl/>
        <w:spacing w:before="40" w:beforeAutospacing="0" w:after="0" w:afterAutospacing="0" w:line="520" w:lineRule="atLeast"/>
        <w:ind w:firstLine="52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4"/>
        </w:numPr>
        <w:spacing w:line="560" w:lineRule="exact"/>
        <w:ind w:firstLine="624" w:firstLineChars="195"/>
        <w:rPr>
          <w:rFonts w:ascii="仿宋_GB2312" w:hAnsi="仿宋_GB2312" w:eastAsia="仿宋_GB2312" w:cs="仿宋_GB2312"/>
          <w:sz w:val="32"/>
          <w:szCs w:val="32"/>
        </w:rPr>
      </w:pPr>
      <w:r>
        <w:rPr>
          <w:rFonts w:hint="eastAsia" w:ascii="仿宋_GB2312" w:hAnsi="仿宋_GB2312" w:eastAsia="仿宋_GB2312" w:cs="仿宋_GB2312"/>
          <w:sz w:val="32"/>
          <w:szCs w:val="32"/>
        </w:rPr>
        <w:t>项目细化管理工作。</w:t>
      </w:r>
      <w:r>
        <w:rPr>
          <w:rFonts w:ascii="仿宋_GB2312" w:hAnsi="仿宋_GB2312" w:eastAsia="仿宋_GB2312" w:cs="仿宋_GB2312"/>
          <w:sz w:val="32"/>
          <w:szCs w:val="32"/>
        </w:rPr>
        <w:t>单位</w:t>
      </w:r>
      <w:r>
        <w:rPr>
          <w:rFonts w:hint="eastAsia" w:ascii="仿宋_GB2312" w:hAnsi="仿宋_GB2312" w:eastAsia="仿宋_GB2312" w:cs="仿宋_GB2312"/>
          <w:sz w:val="32"/>
          <w:szCs w:val="32"/>
        </w:rPr>
        <w:t>是根据</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1</w:t>
      </w:r>
      <w:r>
        <w:rPr>
          <w:rFonts w:ascii="仿宋_GB2312" w:hAnsi="仿宋_GB2312" w:eastAsia="仿宋_GB2312" w:cs="仿宋_GB2312"/>
          <w:sz w:val="32"/>
          <w:szCs w:val="32"/>
        </w:rPr>
        <w:t>年</w:t>
      </w:r>
      <w:r>
        <w:rPr>
          <w:rFonts w:hint="eastAsia" w:ascii="仿宋_GB2312" w:hAnsi="仿宋_GB2312" w:eastAsia="仿宋_GB2312" w:cs="仿宋_GB2312"/>
          <w:sz w:val="32"/>
          <w:szCs w:val="32"/>
        </w:rPr>
        <w:t>上级安排开展此项工作。</w:t>
      </w:r>
    </w:p>
    <w:p>
      <w:pPr>
        <w:pStyle w:val="29"/>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（三）预算绩效管理水平仍有欠缺。在</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320" w:firstLineChars="1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（四）固定资产管理水平有待提高</w:t>
      </w:r>
    </w:p>
    <w:p>
      <w:pPr>
        <w:pStyle w:val="12"/>
        <w:widowControl/>
        <w:spacing w:before="40" w:beforeAutospacing="0" w:after="0" w:afterAutospacing="0" w:line="520" w:lineRule="atLeast"/>
        <w:ind w:firstLine="52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固定资产台账未及时与账面资产金额对账且末与实物进行清点及及时清理处置报废资产导致资产台账与账面资产金额存在差异,固定资产管理继续加强中。</w:t>
      </w:r>
    </w:p>
    <w:p/>
    <w:p>
      <w:pPr>
        <w:pStyle w:val="3"/>
        <w:numPr>
          <w:ilvl w:val="0"/>
          <w:numId w:val="5"/>
        </w:numPr>
        <w:spacing w:line="360" w:lineRule="auto"/>
        <w:rPr>
          <w:rFonts w:hint="eastAsia" w:ascii="仿宋" w:hAnsi="仿宋" w:eastAsia="仿宋"/>
          <w:sz w:val="36"/>
          <w:szCs w:val="36"/>
        </w:rPr>
      </w:pPr>
      <w:bookmarkStart w:id="31" w:name="_Toc70450318"/>
      <w:r>
        <w:rPr>
          <w:rFonts w:hint="eastAsia" w:ascii="仿宋" w:hAnsi="仿宋" w:eastAsia="仿宋"/>
          <w:sz w:val="36"/>
          <w:szCs w:val="36"/>
        </w:rPr>
        <w:t>改进措施和建议</w:t>
      </w:r>
      <w:bookmarkEnd w:id="31"/>
    </w:p>
    <w:p>
      <w:pPr>
        <w:pStyle w:val="4"/>
        <w:spacing w:line="360" w:lineRule="auto"/>
      </w:pPr>
      <w:bookmarkStart w:id="32" w:name="_Toc70450319"/>
      <w:r>
        <w:rPr>
          <w:rStyle w:val="16"/>
          <w:rFonts w:hint="eastAsia" w:ascii="仿宋" w:hAnsi="仿宋" w:eastAsia="仿宋"/>
          <w:b/>
          <w:bCs/>
        </w:rPr>
        <w:t>（一）改进措施</w:t>
      </w:r>
      <w:bookmarkEnd w:id="32"/>
    </w:p>
    <w:p>
      <w:pPr>
        <w:pStyle w:val="12"/>
        <w:widowControl/>
        <w:spacing w:before="40" w:beforeAutospacing="0" w:after="0" w:afterAutospacing="0" w:line="520" w:lineRule="atLeas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从源头上强化对专项资金预算管理。实行专项资金预算管理，结合单位实际, 按轻重缓急统筹安排编制预算,提高预算编制科学性和合理性,优化资金结构。按时间进度分解资金使用计划。专项资金的使用，要事前做计划，事中进行控制，事后总结提高。合理安排资金使用,充分体现资金投向的目标和效益。</w:t>
      </w:r>
    </w:p>
    <w:p>
      <w:pPr>
        <w:pStyle w:val="4"/>
        <w:spacing w:line="360" w:lineRule="auto"/>
        <w:rPr>
          <w:rStyle w:val="16"/>
          <w:rFonts w:hint="eastAsia" w:ascii="仿宋" w:hAnsi="仿宋" w:eastAsia="仿宋"/>
          <w:b/>
          <w:bCs/>
        </w:rPr>
      </w:pPr>
      <w:r>
        <w:rPr>
          <w:rStyle w:val="16"/>
          <w:rFonts w:hint="eastAsia" w:ascii="仿宋" w:hAnsi="仿宋" w:eastAsia="仿宋"/>
          <w:b/>
          <w:bCs/>
        </w:rPr>
        <w:t>（二）建议</w:t>
      </w:r>
    </w:p>
    <w:p>
      <w:pPr>
        <w:pStyle w:val="12"/>
        <w:widowControl/>
        <w:spacing w:before="40" w:beforeAutospacing="0" w:after="0" w:afterAutospacing="0" w:line="520" w:lineRule="atLeas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bookmarkStart w:id="33"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4" w:name="_Hlk70450148"/>
      <w:r>
        <w:rPr>
          <w:rStyle w:val="16"/>
          <w:rFonts w:hint="eastAsia" w:ascii="仿宋" w:hAnsi="仿宋" w:eastAsia="仿宋"/>
          <w:b/>
          <w:bCs/>
          <w:sz w:val="36"/>
          <w:szCs w:val="36"/>
        </w:rPr>
        <w:t>《部门整体支出绩效目标自评表》</w:t>
      </w:r>
      <w:bookmarkEnd w:id="33"/>
      <w:bookmarkEnd w:id="34"/>
    </w:p>
    <w:p/>
    <w:p>
      <w:r>
        <w:br w:type="page"/>
      </w:r>
    </w:p>
    <w:tbl>
      <w:tblPr>
        <w:tblStyle w:val="14"/>
        <w:tblW w:w="8429" w:type="dxa"/>
        <w:tblInd w:w="93" w:type="dxa"/>
        <w:tblLayout w:type="fixed"/>
        <w:tblCellMar>
          <w:top w:w="0" w:type="dxa"/>
          <w:left w:w="108" w:type="dxa"/>
          <w:bottom w:w="0" w:type="dxa"/>
          <w:right w:w="108" w:type="dxa"/>
        </w:tblCellMar>
      </w:tblPr>
      <w:tblGrid>
        <w:gridCol w:w="463"/>
        <w:gridCol w:w="555"/>
        <w:gridCol w:w="237"/>
        <w:gridCol w:w="1364"/>
        <w:gridCol w:w="1021"/>
        <w:gridCol w:w="1090"/>
        <w:gridCol w:w="624"/>
        <w:gridCol w:w="1118"/>
        <w:gridCol w:w="1245"/>
        <w:gridCol w:w="712"/>
      </w:tblGrid>
      <w:tr>
        <w:tblPrEx>
          <w:tblLayout w:type="fixed"/>
          <w:tblCellMar>
            <w:top w:w="0" w:type="dxa"/>
            <w:left w:w="108" w:type="dxa"/>
            <w:bottom w:w="0" w:type="dxa"/>
            <w:right w:w="108" w:type="dxa"/>
          </w:tblCellMar>
        </w:tblPrEx>
        <w:trPr>
          <w:trHeight w:val="405" w:hRule="atLeast"/>
        </w:trPr>
        <w:tc>
          <w:tcPr>
            <w:tcW w:w="8429" w:type="dxa"/>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highlight w:val="none"/>
              </w:rPr>
            </w:pPr>
          </w:p>
          <w:p>
            <w:pPr>
              <w:widowControl/>
              <w:spacing w:line="640" w:lineRule="exact"/>
              <w:jc w:val="center"/>
              <w:rPr>
                <w:rFonts w:ascii="方正小标宋_GBK" w:hAnsi="宋体" w:eastAsia="方正小标宋_GBK" w:cs="宋体"/>
                <w:kern w:val="0"/>
                <w:sz w:val="44"/>
                <w:szCs w:val="44"/>
                <w:highlight w:val="none"/>
              </w:rPr>
            </w:pPr>
            <w:r>
              <w:rPr>
                <w:rFonts w:hint="eastAsia" w:ascii="方正小标宋_GBK" w:hAnsi="宋体" w:eastAsia="方正小标宋_GBK" w:cs="宋体"/>
                <w:kern w:val="0"/>
                <w:sz w:val="44"/>
                <w:szCs w:val="44"/>
                <w:highlight w:val="none"/>
              </w:rPr>
              <w:t>部门整体支出绩效目标自评表</w:t>
            </w:r>
          </w:p>
        </w:tc>
      </w:tr>
      <w:tr>
        <w:tblPrEx>
          <w:tblLayout w:type="fixed"/>
          <w:tblCellMar>
            <w:top w:w="0" w:type="dxa"/>
            <w:left w:w="108" w:type="dxa"/>
            <w:bottom w:w="0" w:type="dxa"/>
            <w:right w:w="108" w:type="dxa"/>
          </w:tblCellMar>
        </w:tblPrEx>
        <w:trPr>
          <w:trHeight w:val="285" w:hRule="atLeast"/>
        </w:trPr>
        <w:tc>
          <w:tcPr>
            <w:tcW w:w="8429" w:type="dxa"/>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highlight w:val="none"/>
              </w:rPr>
            </w:pPr>
            <w:r>
              <w:rPr>
                <w:rFonts w:hint="eastAsia" w:ascii="宋体" w:hAnsi="宋体" w:eastAsia="宋体" w:cs="宋体"/>
                <w:kern w:val="0"/>
                <w:sz w:val="24"/>
                <w:highlight w:val="none"/>
              </w:rPr>
              <w:t>（</w:t>
            </w:r>
            <w:r>
              <w:rPr>
                <w:rFonts w:ascii="Times New Roman" w:hAnsi="Times New Roman" w:eastAsia="宋体" w:cs="Times New Roman"/>
                <w:kern w:val="0"/>
                <w:sz w:val="24"/>
                <w:highlight w:val="none"/>
              </w:rPr>
              <w:t xml:space="preserve">     </w:t>
            </w:r>
            <w:r>
              <w:rPr>
                <w:rFonts w:hint="eastAsia" w:ascii="Times New Roman" w:hAnsi="Times New Roman" w:eastAsia="宋体" w:cs="Times New Roman"/>
                <w:kern w:val="0"/>
                <w:sz w:val="24"/>
                <w:highlight w:val="none"/>
              </w:rPr>
              <w:t>2021</w:t>
            </w:r>
            <w:r>
              <w:rPr>
                <w:rFonts w:ascii="Times New Roman" w:hAnsi="Times New Roman" w:eastAsia="宋体" w:cs="Times New Roman"/>
                <w:kern w:val="0"/>
                <w:sz w:val="24"/>
                <w:highlight w:val="none"/>
              </w:rPr>
              <w:t xml:space="preserve">     </w:t>
            </w:r>
            <w:r>
              <w:rPr>
                <w:rFonts w:hint="eastAsia" w:ascii="宋体" w:hAnsi="宋体" w:eastAsia="宋体" w:cs="宋体"/>
                <w:kern w:val="0"/>
                <w:sz w:val="24"/>
                <w:highlight w:val="none"/>
              </w:rPr>
              <w:t>年度）</w:t>
            </w:r>
          </w:p>
        </w:tc>
      </w:tr>
      <w:tr>
        <w:tblPrEx>
          <w:tblLayout w:type="fixed"/>
          <w:tblCellMar>
            <w:top w:w="0" w:type="dxa"/>
            <w:left w:w="108" w:type="dxa"/>
            <w:bottom w:w="0" w:type="dxa"/>
            <w:right w:w="108" w:type="dxa"/>
          </w:tblCellMar>
        </w:tblPrEx>
        <w:trPr>
          <w:trHeight w:val="285" w:hRule="atLeast"/>
        </w:trPr>
        <w:tc>
          <w:tcPr>
            <w:tcW w:w="46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55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237"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36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021"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09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62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118"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24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highlight w:val="none"/>
              </w:rPr>
            </w:pPr>
          </w:p>
        </w:tc>
        <w:tc>
          <w:tcPr>
            <w:tcW w:w="71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highlight w:val="none"/>
              </w:rPr>
            </w:pPr>
          </w:p>
        </w:tc>
      </w:tr>
      <w:tr>
        <w:tblPrEx>
          <w:tblLayout w:type="fixed"/>
          <w:tblCellMar>
            <w:top w:w="0" w:type="dxa"/>
            <w:left w:w="108" w:type="dxa"/>
            <w:bottom w:w="0" w:type="dxa"/>
            <w:right w:w="108" w:type="dxa"/>
          </w:tblCellMar>
        </w:tblPrEx>
        <w:trPr>
          <w:trHeight w:val="285" w:hRule="atLeast"/>
        </w:trPr>
        <w:tc>
          <w:tcPr>
            <w:tcW w:w="125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部门名称</w:t>
            </w:r>
          </w:p>
        </w:tc>
        <w:tc>
          <w:tcPr>
            <w:tcW w:w="717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中共特克斯县委员会政法委员会　</w:t>
            </w:r>
          </w:p>
        </w:tc>
      </w:tr>
      <w:tr>
        <w:tblPrEx>
          <w:tblLayout w:type="fixed"/>
          <w:tblCellMar>
            <w:top w:w="0" w:type="dxa"/>
            <w:left w:w="108" w:type="dxa"/>
            <w:bottom w:w="0" w:type="dxa"/>
            <w:right w:w="108" w:type="dxa"/>
          </w:tblCellMar>
        </w:tblPrEx>
        <w:trPr>
          <w:trHeight w:val="285" w:hRule="atLeast"/>
        </w:trPr>
        <w:tc>
          <w:tcPr>
            <w:tcW w:w="4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年度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主要</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任务</w:t>
            </w:r>
          </w:p>
        </w:tc>
        <w:tc>
          <w:tcPr>
            <w:tcW w:w="79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任务名称</w:t>
            </w:r>
          </w:p>
        </w:tc>
        <w:tc>
          <w:tcPr>
            <w:tcW w:w="136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主要内容</w:t>
            </w:r>
          </w:p>
        </w:tc>
        <w:tc>
          <w:tcPr>
            <w:tcW w:w="273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预算金额（万元）</w:t>
            </w:r>
          </w:p>
        </w:tc>
        <w:tc>
          <w:tcPr>
            <w:tcW w:w="307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实际执行（万元）</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9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13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6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1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71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任务1</w:t>
            </w:r>
          </w:p>
        </w:tc>
        <w:tc>
          <w:tcPr>
            <w:tcW w:w="1364"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用于保障部门单位人员发放工资福利支出及对个人和家庭补助。</w:t>
            </w:r>
          </w:p>
        </w:tc>
        <w:tc>
          <w:tcPr>
            <w:tcW w:w="102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392.54</w:t>
            </w:r>
          </w:p>
        </w:tc>
        <w:tc>
          <w:tcPr>
            <w:tcW w:w="109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392.54</w:t>
            </w:r>
          </w:p>
        </w:tc>
        <w:tc>
          <w:tcPr>
            <w:tcW w:w="62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0</w:t>
            </w:r>
          </w:p>
        </w:tc>
        <w:tc>
          <w:tcPr>
            <w:tcW w:w="11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392.54</w:t>
            </w:r>
          </w:p>
        </w:tc>
        <w:tc>
          <w:tcPr>
            <w:tcW w:w="124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392.54</w:t>
            </w:r>
          </w:p>
        </w:tc>
        <w:tc>
          <w:tcPr>
            <w:tcW w:w="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0</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任务2</w:t>
            </w:r>
          </w:p>
        </w:tc>
        <w:tc>
          <w:tcPr>
            <w:tcW w:w="1364"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用于保障部门单位人员发放工资福利支出及对个人和家庭补助。</w:t>
            </w:r>
          </w:p>
        </w:tc>
        <w:tc>
          <w:tcPr>
            <w:tcW w:w="102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19.95　</w:t>
            </w:r>
          </w:p>
        </w:tc>
        <w:tc>
          <w:tcPr>
            <w:tcW w:w="109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19.95</w:t>
            </w:r>
          </w:p>
        </w:tc>
        <w:tc>
          <w:tcPr>
            <w:tcW w:w="62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0</w:t>
            </w:r>
          </w:p>
        </w:tc>
        <w:tc>
          <w:tcPr>
            <w:tcW w:w="11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19.95　</w:t>
            </w:r>
          </w:p>
        </w:tc>
        <w:tc>
          <w:tcPr>
            <w:tcW w:w="124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19.95　</w:t>
            </w:r>
          </w:p>
        </w:tc>
        <w:tc>
          <w:tcPr>
            <w:tcW w:w="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0</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15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金额合计</w:t>
            </w:r>
          </w:p>
        </w:tc>
        <w:tc>
          <w:tcPr>
            <w:tcW w:w="10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412.49</w:t>
            </w:r>
          </w:p>
        </w:tc>
        <w:tc>
          <w:tcPr>
            <w:tcW w:w="109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412.49</w:t>
            </w:r>
          </w:p>
        </w:tc>
        <w:tc>
          <w:tcPr>
            <w:tcW w:w="62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0</w:t>
            </w:r>
          </w:p>
        </w:tc>
        <w:tc>
          <w:tcPr>
            <w:tcW w:w="11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412.49</w:t>
            </w:r>
          </w:p>
        </w:tc>
        <w:tc>
          <w:tcPr>
            <w:tcW w:w="12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412.49</w:t>
            </w:r>
          </w:p>
        </w:tc>
        <w:tc>
          <w:tcPr>
            <w:tcW w:w="7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0</w:t>
            </w:r>
          </w:p>
        </w:tc>
      </w:tr>
      <w:tr>
        <w:tblPrEx>
          <w:tblLayout w:type="fixed"/>
          <w:tblCellMar>
            <w:top w:w="0" w:type="dxa"/>
            <w:left w:w="108" w:type="dxa"/>
            <w:bottom w:w="0" w:type="dxa"/>
            <w:right w:w="108" w:type="dxa"/>
          </w:tblCellMar>
        </w:tblPrEx>
        <w:trPr>
          <w:trHeight w:val="285" w:hRule="atLeast"/>
        </w:trPr>
        <w:tc>
          <w:tcPr>
            <w:tcW w:w="4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3177"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4789"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Layout w:type="fixed"/>
          <w:tblCellMar>
            <w:top w:w="0" w:type="dxa"/>
            <w:left w:w="108" w:type="dxa"/>
            <w:bottom w:w="0" w:type="dxa"/>
            <w:right w:w="108" w:type="dxa"/>
          </w:tblCellMar>
        </w:tblPrEx>
        <w:trPr>
          <w:trHeight w:val="2070" w:hRule="atLeast"/>
        </w:trPr>
        <w:tc>
          <w:tcPr>
            <w:tcW w:w="4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3177" w:type="dxa"/>
            <w:gridSpan w:val="4"/>
            <w:tcBorders>
              <w:top w:val="single" w:color="auto" w:sz="4" w:space="0"/>
              <w:left w:val="nil"/>
              <w:bottom w:val="single" w:color="auto" w:sz="4" w:space="0"/>
              <w:right w:val="single" w:color="auto"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目标1：紧紧围绕社会稳定和长治久安总目标，加强对政法领域重大事件和理论制度调查研究，了解掌握和分析研判社会稳定形势，对全县政法工作研究提出全局性部署，推进平安新疆、法治新疆建设，推动政法领域全面深化改革，加强过硬队伍建设，深化智能化建设，加强对政法工作的督查，维护国家政治安全，确保社会大局稳定，促进社会公平正义，保障人民安居乐业，以加强和创新社会治理为切入点，确保社会面持续稳定。</w:t>
            </w:r>
          </w:p>
        </w:tc>
        <w:tc>
          <w:tcPr>
            <w:tcW w:w="4789"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目标1：紧紧围绕社会稳定和长治久安总目标，加强对政法领域重大事件和理论制度调查研究，了解掌握和分析研判社会稳定形势，对全县政法工作研究提出全局性部署，推进平安新疆、法治新疆建设，推动政法领域全面深化改革，加强过硬队伍建设，深化智能化建设，加强对政法工作的督查，维护国家政治安全，确保社会大局稳定，促进社会公平正义，保障人民安居乐业，以加强和创新社会治理为切入点，确保社会面持续稳定。</w:t>
            </w:r>
          </w:p>
        </w:tc>
      </w:tr>
      <w:tr>
        <w:tblPrEx>
          <w:tblLayout w:type="fixed"/>
          <w:tblCellMar>
            <w:top w:w="0" w:type="dxa"/>
            <w:left w:w="108" w:type="dxa"/>
            <w:bottom w:w="0" w:type="dxa"/>
            <w:right w:w="108" w:type="dxa"/>
          </w:tblCellMar>
        </w:tblPrEx>
        <w:trPr>
          <w:trHeight w:val="885" w:hRule="atLeast"/>
        </w:trPr>
        <w:tc>
          <w:tcPr>
            <w:tcW w:w="4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5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1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21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174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195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1601"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人员保障人数</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≥51人</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51人</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01"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退休人员数</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≥8人</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8人</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01"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保障日常办公用车数量</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≥3辆</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3辆</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01"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工资及公用经费保障率</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≥95%</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95%</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01"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资金发放及时性</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≥95%</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95%</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01"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日常办公用车保障经费</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≥95%</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95%</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01"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保障人员人均支出标准</w:t>
            </w:r>
          </w:p>
        </w:tc>
        <w:tc>
          <w:tcPr>
            <w:tcW w:w="624"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kern w:val="0"/>
                <w:sz w:val="24"/>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≤7.6万元</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lang w:val="en-US" w:eastAsia="zh-CN"/>
              </w:rPr>
              <w:t>7.6</w:t>
            </w:r>
            <w:r>
              <w:rPr>
                <w:rFonts w:hint="eastAsia" w:ascii="宋体" w:hAnsi="宋体" w:eastAsia="宋体" w:cs="宋体"/>
                <w:kern w:val="0"/>
                <w:sz w:val="24"/>
              </w:rPr>
              <w:t>万元</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01"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人均运转经费</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≤400元</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lang w:val="en-US" w:eastAsia="zh-CN"/>
              </w:rPr>
              <w:t>400</w:t>
            </w:r>
            <w:r>
              <w:rPr>
                <w:rFonts w:hint="eastAsia" w:ascii="宋体" w:hAnsi="宋体" w:eastAsia="宋体" w:cs="宋体"/>
                <w:kern w:val="0"/>
                <w:sz w:val="24"/>
              </w:rPr>
              <w:t>元</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01"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日常办公用车保障经费</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w:t>
            </w:r>
            <w:r>
              <w:rPr>
                <w:rFonts w:hint="eastAsia" w:ascii="宋体" w:hAnsi="宋体" w:eastAsia="宋体" w:cs="宋体"/>
                <w:kern w:val="0"/>
                <w:sz w:val="24"/>
                <w:lang w:val="en-US" w:eastAsia="zh-CN"/>
              </w:rPr>
              <w:t>1</w:t>
            </w:r>
            <w:r>
              <w:rPr>
                <w:rFonts w:hint="eastAsia" w:ascii="宋体" w:hAnsi="宋体" w:eastAsia="宋体" w:cs="宋体"/>
                <w:kern w:val="0"/>
                <w:sz w:val="24"/>
              </w:rPr>
              <w:t>万元</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lang w:val="en-US" w:eastAsia="zh-CN"/>
              </w:rPr>
              <w:t>1</w:t>
            </w:r>
            <w:r>
              <w:rPr>
                <w:rFonts w:hint="eastAsia" w:ascii="宋体" w:hAnsi="宋体" w:eastAsia="宋体" w:cs="宋体"/>
                <w:kern w:val="0"/>
                <w:sz w:val="24"/>
              </w:rPr>
              <w:t>万元</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01"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提高机关办事效益</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有效提高</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有效提高　</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01"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促进部门提高行政效率</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有效促进</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有效促进　</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601"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职工满意度</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≥95%</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95%　</w:t>
            </w:r>
          </w:p>
        </w:tc>
      </w:tr>
      <w:tr>
        <w:tblPrEx>
          <w:tblLayout w:type="fixed"/>
          <w:tblCellMar>
            <w:top w:w="0" w:type="dxa"/>
            <w:left w:w="108" w:type="dxa"/>
            <w:bottom w:w="0" w:type="dxa"/>
            <w:right w:w="108" w:type="dxa"/>
          </w:tblCellMar>
        </w:tblPrEx>
        <w:trPr>
          <w:trHeight w:val="285" w:hRule="atLeast"/>
        </w:trPr>
        <w:tc>
          <w:tcPr>
            <w:tcW w:w="4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5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601"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1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法治宣讲对象满意度</w:t>
            </w:r>
          </w:p>
        </w:tc>
        <w:tc>
          <w:tcPr>
            <w:tcW w:w="174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≥90%</w:t>
            </w:r>
          </w:p>
        </w:tc>
        <w:tc>
          <w:tcPr>
            <w:tcW w:w="195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90%　</w:t>
            </w:r>
          </w:p>
        </w:tc>
      </w:tr>
    </w:tbl>
    <w:p>
      <w:pPr>
        <w:rPr>
          <w:rFonts w:ascii="仿宋" w:hAnsi="仿宋" w:eastAsia="仿宋" w:cs="宋体"/>
          <w:color w:val="333333"/>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7F0E43"/>
    <w:multiLevelType w:val="singleLevel"/>
    <w:tmpl w:val="D07F0E43"/>
    <w:lvl w:ilvl="0" w:tentative="0">
      <w:start w:val="7"/>
      <w:numFmt w:val="chineseCounting"/>
      <w:suff w:val="nothing"/>
      <w:lvlText w:val="%1、"/>
      <w:lvlJc w:val="left"/>
      <w:rPr>
        <w:rFonts w:hint="eastAsia"/>
      </w:rPr>
    </w:lvl>
  </w:abstractNum>
  <w:abstractNum w:abstractNumId="1">
    <w:nsid w:val="E41F1B0A"/>
    <w:multiLevelType w:val="singleLevel"/>
    <w:tmpl w:val="E41F1B0A"/>
    <w:lvl w:ilvl="0" w:tentative="0">
      <w:start w:val="2"/>
      <w:numFmt w:val="chineseCounting"/>
      <w:suff w:val="nothing"/>
      <w:lvlText w:val="（%1）"/>
      <w:lvlJc w:val="left"/>
      <w:rPr>
        <w:rFonts w:hint="eastAsia"/>
      </w:rPr>
    </w:lvl>
  </w:abstractNum>
  <w:abstractNum w:abstractNumId="2">
    <w:nsid w:val="379767AD"/>
    <w:multiLevelType w:val="multilevel"/>
    <w:tmpl w:val="379767AD"/>
    <w:lvl w:ilvl="0" w:tentative="0">
      <w:start w:val="1"/>
      <w:numFmt w:val="decimal"/>
      <w:lvlText w:val="%1、"/>
      <w:lvlJc w:val="left"/>
      <w:pPr>
        <w:ind w:left="1264" w:hanging="720"/>
      </w:pPr>
      <w:rPr>
        <w:rFonts w:hint="default"/>
      </w:rPr>
    </w:lvl>
    <w:lvl w:ilvl="1" w:tentative="0">
      <w:start w:val="1"/>
      <w:numFmt w:val="lowerLetter"/>
      <w:lvlText w:val="%2)"/>
      <w:lvlJc w:val="left"/>
      <w:pPr>
        <w:ind w:left="1384" w:hanging="420"/>
      </w:pPr>
    </w:lvl>
    <w:lvl w:ilvl="2" w:tentative="0">
      <w:start w:val="1"/>
      <w:numFmt w:val="lowerRoman"/>
      <w:lvlText w:val="%3."/>
      <w:lvlJc w:val="right"/>
      <w:pPr>
        <w:ind w:left="1804" w:hanging="420"/>
      </w:pPr>
    </w:lvl>
    <w:lvl w:ilvl="3" w:tentative="0">
      <w:start w:val="1"/>
      <w:numFmt w:val="decimal"/>
      <w:lvlText w:val="%4."/>
      <w:lvlJc w:val="left"/>
      <w:pPr>
        <w:ind w:left="2224" w:hanging="420"/>
      </w:pPr>
    </w:lvl>
    <w:lvl w:ilvl="4" w:tentative="0">
      <w:start w:val="1"/>
      <w:numFmt w:val="lowerLetter"/>
      <w:lvlText w:val="%5)"/>
      <w:lvlJc w:val="left"/>
      <w:pPr>
        <w:ind w:left="2644" w:hanging="420"/>
      </w:pPr>
    </w:lvl>
    <w:lvl w:ilvl="5" w:tentative="0">
      <w:start w:val="1"/>
      <w:numFmt w:val="lowerRoman"/>
      <w:lvlText w:val="%6."/>
      <w:lvlJc w:val="right"/>
      <w:pPr>
        <w:ind w:left="3064" w:hanging="420"/>
      </w:pPr>
    </w:lvl>
    <w:lvl w:ilvl="6" w:tentative="0">
      <w:start w:val="1"/>
      <w:numFmt w:val="decimal"/>
      <w:lvlText w:val="%7."/>
      <w:lvlJc w:val="left"/>
      <w:pPr>
        <w:ind w:left="3484" w:hanging="420"/>
      </w:pPr>
    </w:lvl>
    <w:lvl w:ilvl="7" w:tentative="0">
      <w:start w:val="1"/>
      <w:numFmt w:val="lowerLetter"/>
      <w:lvlText w:val="%8)"/>
      <w:lvlJc w:val="left"/>
      <w:pPr>
        <w:ind w:left="3904" w:hanging="420"/>
      </w:pPr>
    </w:lvl>
    <w:lvl w:ilvl="8" w:tentative="0">
      <w:start w:val="1"/>
      <w:numFmt w:val="lowerRoman"/>
      <w:lvlText w:val="%9."/>
      <w:lvlJc w:val="right"/>
      <w:pPr>
        <w:ind w:left="4324" w:hanging="420"/>
      </w:pPr>
    </w:lvl>
  </w:abstractNum>
  <w:abstractNum w:abstractNumId="3">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4">
    <w:nsid w:val="72087056"/>
    <w:multiLevelType w:val="multilevel"/>
    <w:tmpl w:val="72087056"/>
    <w:lvl w:ilvl="0" w:tentative="0">
      <w:start w:val="2"/>
      <w:numFmt w:val="decimal"/>
      <w:lvlText w:val="%1、"/>
      <w:lvlJc w:val="left"/>
      <w:pPr>
        <w:ind w:left="1264" w:hanging="720"/>
      </w:pPr>
      <w:rPr>
        <w:rFonts w:hint="default"/>
      </w:rPr>
    </w:lvl>
    <w:lvl w:ilvl="1" w:tentative="0">
      <w:start w:val="1"/>
      <w:numFmt w:val="lowerLetter"/>
      <w:lvlText w:val="%2)"/>
      <w:lvlJc w:val="left"/>
      <w:pPr>
        <w:ind w:left="1384" w:hanging="420"/>
      </w:pPr>
    </w:lvl>
    <w:lvl w:ilvl="2" w:tentative="0">
      <w:start w:val="1"/>
      <w:numFmt w:val="lowerRoman"/>
      <w:lvlText w:val="%3."/>
      <w:lvlJc w:val="right"/>
      <w:pPr>
        <w:ind w:left="1804" w:hanging="420"/>
      </w:pPr>
    </w:lvl>
    <w:lvl w:ilvl="3" w:tentative="0">
      <w:start w:val="1"/>
      <w:numFmt w:val="decimal"/>
      <w:lvlText w:val="%4."/>
      <w:lvlJc w:val="left"/>
      <w:pPr>
        <w:ind w:left="2224" w:hanging="420"/>
      </w:pPr>
    </w:lvl>
    <w:lvl w:ilvl="4" w:tentative="0">
      <w:start w:val="1"/>
      <w:numFmt w:val="lowerLetter"/>
      <w:lvlText w:val="%5)"/>
      <w:lvlJc w:val="left"/>
      <w:pPr>
        <w:ind w:left="2644" w:hanging="420"/>
      </w:pPr>
    </w:lvl>
    <w:lvl w:ilvl="5" w:tentative="0">
      <w:start w:val="1"/>
      <w:numFmt w:val="lowerRoman"/>
      <w:lvlText w:val="%6."/>
      <w:lvlJc w:val="right"/>
      <w:pPr>
        <w:ind w:left="3064" w:hanging="420"/>
      </w:pPr>
    </w:lvl>
    <w:lvl w:ilvl="6" w:tentative="0">
      <w:start w:val="1"/>
      <w:numFmt w:val="decimal"/>
      <w:lvlText w:val="%7."/>
      <w:lvlJc w:val="left"/>
      <w:pPr>
        <w:ind w:left="3484" w:hanging="420"/>
      </w:pPr>
    </w:lvl>
    <w:lvl w:ilvl="7" w:tentative="0">
      <w:start w:val="1"/>
      <w:numFmt w:val="lowerLetter"/>
      <w:lvlText w:val="%8)"/>
      <w:lvlJc w:val="left"/>
      <w:pPr>
        <w:ind w:left="3904" w:hanging="420"/>
      </w:pPr>
    </w:lvl>
    <w:lvl w:ilvl="8" w:tentative="0">
      <w:start w:val="1"/>
      <w:numFmt w:val="lowerRoman"/>
      <w:lvlText w:val="%9."/>
      <w:lvlJc w:val="right"/>
      <w:pPr>
        <w:ind w:left="4324"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1MDZlYmI5MDk0MTg0NGQ5YjU3MzZhZWMwZGE3NjIifQ=="/>
  </w:docVars>
  <w:rsids>
    <w:rsidRoot w:val="00633862"/>
    <w:rsid w:val="000205B7"/>
    <w:rsid w:val="00025A44"/>
    <w:rsid w:val="00052771"/>
    <w:rsid w:val="00056F11"/>
    <w:rsid w:val="00065199"/>
    <w:rsid w:val="00072084"/>
    <w:rsid w:val="0009422A"/>
    <w:rsid w:val="000A5063"/>
    <w:rsid w:val="000B6B13"/>
    <w:rsid w:val="000D1BEA"/>
    <w:rsid w:val="000D1DEE"/>
    <w:rsid w:val="000D3AFA"/>
    <w:rsid w:val="000F212A"/>
    <w:rsid w:val="00105D60"/>
    <w:rsid w:val="001121F2"/>
    <w:rsid w:val="00112859"/>
    <w:rsid w:val="001173EB"/>
    <w:rsid w:val="00140B9F"/>
    <w:rsid w:val="001471A6"/>
    <w:rsid w:val="00150C4C"/>
    <w:rsid w:val="00183111"/>
    <w:rsid w:val="00191BA3"/>
    <w:rsid w:val="001A2299"/>
    <w:rsid w:val="001A3A0E"/>
    <w:rsid w:val="001C479D"/>
    <w:rsid w:val="001D2004"/>
    <w:rsid w:val="001F630E"/>
    <w:rsid w:val="001F7FB6"/>
    <w:rsid w:val="0022744B"/>
    <w:rsid w:val="00234372"/>
    <w:rsid w:val="00234B37"/>
    <w:rsid w:val="00246941"/>
    <w:rsid w:val="00262E4F"/>
    <w:rsid w:val="002764C7"/>
    <w:rsid w:val="002A0151"/>
    <w:rsid w:val="002D075E"/>
    <w:rsid w:val="002E1A7B"/>
    <w:rsid w:val="002F026D"/>
    <w:rsid w:val="00303A08"/>
    <w:rsid w:val="003132D5"/>
    <w:rsid w:val="003226C4"/>
    <w:rsid w:val="00397181"/>
    <w:rsid w:val="003E162B"/>
    <w:rsid w:val="003E3DEF"/>
    <w:rsid w:val="003E7C70"/>
    <w:rsid w:val="003F2D0A"/>
    <w:rsid w:val="00421CF5"/>
    <w:rsid w:val="00480A01"/>
    <w:rsid w:val="0049337C"/>
    <w:rsid w:val="004C4C4D"/>
    <w:rsid w:val="004C6FF3"/>
    <w:rsid w:val="004E69F5"/>
    <w:rsid w:val="004E7AAC"/>
    <w:rsid w:val="00531A31"/>
    <w:rsid w:val="00533C6C"/>
    <w:rsid w:val="005355EC"/>
    <w:rsid w:val="00593943"/>
    <w:rsid w:val="005A08A8"/>
    <w:rsid w:val="005B1250"/>
    <w:rsid w:val="005B2AF3"/>
    <w:rsid w:val="005C33CE"/>
    <w:rsid w:val="005C4B50"/>
    <w:rsid w:val="00615550"/>
    <w:rsid w:val="00616863"/>
    <w:rsid w:val="006225D7"/>
    <w:rsid w:val="00622DFE"/>
    <w:rsid w:val="00633862"/>
    <w:rsid w:val="006350F7"/>
    <w:rsid w:val="006379B7"/>
    <w:rsid w:val="006413B6"/>
    <w:rsid w:val="00652D4B"/>
    <w:rsid w:val="006568B5"/>
    <w:rsid w:val="006910A7"/>
    <w:rsid w:val="00691310"/>
    <w:rsid w:val="006A7181"/>
    <w:rsid w:val="006C5BED"/>
    <w:rsid w:val="006C6C70"/>
    <w:rsid w:val="006C7FC8"/>
    <w:rsid w:val="006D3947"/>
    <w:rsid w:val="00702D4A"/>
    <w:rsid w:val="007115C8"/>
    <w:rsid w:val="00713ADC"/>
    <w:rsid w:val="00715143"/>
    <w:rsid w:val="00725B9A"/>
    <w:rsid w:val="00754721"/>
    <w:rsid w:val="007713F8"/>
    <w:rsid w:val="007959A1"/>
    <w:rsid w:val="007A7491"/>
    <w:rsid w:val="007A7874"/>
    <w:rsid w:val="00800784"/>
    <w:rsid w:val="008141F9"/>
    <w:rsid w:val="00817432"/>
    <w:rsid w:val="008614D8"/>
    <w:rsid w:val="00875327"/>
    <w:rsid w:val="008809E9"/>
    <w:rsid w:val="00886879"/>
    <w:rsid w:val="00890FC2"/>
    <w:rsid w:val="008E3F8A"/>
    <w:rsid w:val="008F5889"/>
    <w:rsid w:val="00923468"/>
    <w:rsid w:val="0093411A"/>
    <w:rsid w:val="00952782"/>
    <w:rsid w:val="0095580D"/>
    <w:rsid w:val="00974238"/>
    <w:rsid w:val="0097614B"/>
    <w:rsid w:val="00980CF2"/>
    <w:rsid w:val="00992D45"/>
    <w:rsid w:val="009A1625"/>
    <w:rsid w:val="009B0B31"/>
    <w:rsid w:val="009E055E"/>
    <w:rsid w:val="009E5FF8"/>
    <w:rsid w:val="009F06F4"/>
    <w:rsid w:val="00A05135"/>
    <w:rsid w:val="00A258D0"/>
    <w:rsid w:val="00A43D21"/>
    <w:rsid w:val="00A55238"/>
    <w:rsid w:val="00A7534F"/>
    <w:rsid w:val="00A755E8"/>
    <w:rsid w:val="00A830D6"/>
    <w:rsid w:val="00AA5126"/>
    <w:rsid w:val="00AB5608"/>
    <w:rsid w:val="00AC3610"/>
    <w:rsid w:val="00AC4471"/>
    <w:rsid w:val="00AD16CD"/>
    <w:rsid w:val="00AF4225"/>
    <w:rsid w:val="00AF42EB"/>
    <w:rsid w:val="00B130FE"/>
    <w:rsid w:val="00B34A48"/>
    <w:rsid w:val="00B407C3"/>
    <w:rsid w:val="00B666A1"/>
    <w:rsid w:val="00BA1454"/>
    <w:rsid w:val="00BA2F73"/>
    <w:rsid w:val="00BA63C6"/>
    <w:rsid w:val="00BA7067"/>
    <w:rsid w:val="00BF5BF4"/>
    <w:rsid w:val="00C03126"/>
    <w:rsid w:val="00C04E19"/>
    <w:rsid w:val="00C2339C"/>
    <w:rsid w:val="00C42609"/>
    <w:rsid w:val="00C4673D"/>
    <w:rsid w:val="00C76454"/>
    <w:rsid w:val="00C77BD9"/>
    <w:rsid w:val="00C81F75"/>
    <w:rsid w:val="00CB1C9D"/>
    <w:rsid w:val="00CB32BE"/>
    <w:rsid w:val="00CC7606"/>
    <w:rsid w:val="00CC779B"/>
    <w:rsid w:val="00CD2F35"/>
    <w:rsid w:val="00CE16E7"/>
    <w:rsid w:val="00CE61DB"/>
    <w:rsid w:val="00D26F3D"/>
    <w:rsid w:val="00D278CF"/>
    <w:rsid w:val="00D31B46"/>
    <w:rsid w:val="00D72CD8"/>
    <w:rsid w:val="00D77626"/>
    <w:rsid w:val="00D81EE2"/>
    <w:rsid w:val="00D90E88"/>
    <w:rsid w:val="00DA671F"/>
    <w:rsid w:val="00DA67B8"/>
    <w:rsid w:val="00DB1085"/>
    <w:rsid w:val="00DB4C60"/>
    <w:rsid w:val="00DB7D4B"/>
    <w:rsid w:val="00DD223C"/>
    <w:rsid w:val="00DE7DF7"/>
    <w:rsid w:val="00E213C7"/>
    <w:rsid w:val="00E41A31"/>
    <w:rsid w:val="00E66D68"/>
    <w:rsid w:val="00E67EE1"/>
    <w:rsid w:val="00E7188B"/>
    <w:rsid w:val="00E82A0A"/>
    <w:rsid w:val="00F006BD"/>
    <w:rsid w:val="00F02006"/>
    <w:rsid w:val="00F17550"/>
    <w:rsid w:val="00F27120"/>
    <w:rsid w:val="00F341E0"/>
    <w:rsid w:val="00F36401"/>
    <w:rsid w:val="00F42445"/>
    <w:rsid w:val="00F43B7E"/>
    <w:rsid w:val="00F44FCC"/>
    <w:rsid w:val="00F45CD6"/>
    <w:rsid w:val="00F53426"/>
    <w:rsid w:val="00F70AEC"/>
    <w:rsid w:val="00F74974"/>
    <w:rsid w:val="00F829DE"/>
    <w:rsid w:val="00F84215"/>
    <w:rsid w:val="00F8715A"/>
    <w:rsid w:val="00F91CBB"/>
    <w:rsid w:val="00FB2B5F"/>
    <w:rsid w:val="00FB7848"/>
    <w:rsid w:val="030E4A42"/>
    <w:rsid w:val="06860884"/>
    <w:rsid w:val="0C763AB4"/>
    <w:rsid w:val="0E9A5E97"/>
    <w:rsid w:val="0ED9316E"/>
    <w:rsid w:val="143570B8"/>
    <w:rsid w:val="17867364"/>
    <w:rsid w:val="1D0E087C"/>
    <w:rsid w:val="1D75539A"/>
    <w:rsid w:val="1EB60E4D"/>
    <w:rsid w:val="1FBA4C46"/>
    <w:rsid w:val="23271B5A"/>
    <w:rsid w:val="252D57ED"/>
    <w:rsid w:val="30F37F1F"/>
    <w:rsid w:val="35197BC8"/>
    <w:rsid w:val="36022C46"/>
    <w:rsid w:val="38C9369C"/>
    <w:rsid w:val="3962035F"/>
    <w:rsid w:val="3A567133"/>
    <w:rsid w:val="3A655D7D"/>
    <w:rsid w:val="462750D7"/>
    <w:rsid w:val="4C9E3461"/>
    <w:rsid w:val="560C591C"/>
    <w:rsid w:val="60DD5FED"/>
    <w:rsid w:val="613C71BD"/>
    <w:rsid w:val="62E643C7"/>
    <w:rsid w:val="6AD05E36"/>
    <w:rsid w:val="6DC632A5"/>
    <w:rsid w:val="6FB02C54"/>
    <w:rsid w:val="7E7A4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ascii="Calibri" w:hAnsi="Calibri" w:eastAsia="宋体" w:cs="Times New Roman"/>
      <w:color w:val="000000"/>
      <w:kern w:val="0"/>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rPr>
  </w:style>
  <w:style w:type="character" w:customStyle="1" w:styleId="18">
    <w:name w:val="页眉 Char"/>
    <w:basedOn w:val="15"/>
    <w:link w:val="8"/>
    <w:qFormat/>
    <w:uiPriority w:val="99"/>
    <w:rPr>
      <w:sz w:val="18"/>
      <w:szCs w:val="18"/>
    </w:rPr>
  </w:style>
  <w:style w:type="character" w:customStyle="1" w:styleId="19">
    <w:name w:val="页脚 Char"/>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Char"/>
    <w:basedOn w:val="15"/>
    <w:link w:val="13"/>
    <w:qFormat/>
    <w:uiPriority w:val="10"/>
    <w:rPr>
      <w:rFonts w:asciiTheme="majorHAnsi" w:hAnsiTheme="majorHAnsi" w:eastAsiaTheme="majorEastAsia" w:cstheme="majorBidi"/>
      <w:b/>
      <w:bCs/>
      <w:sz w:val="32"/>
      <w:szCs w:val="32"/>
    </w:rPr>
  </w:style>
  <w:style w:type="character" w:customStyle="1" w:styleId="22">
    <w:name w:val="标题 2 Char"/>
    <w:basedOn w:val="15"/>
    <w:link w:val="3"/>
    <w:qFormat/>
    <w:uiPriority w:val="9"/>
    <w:rPr>
      <w:rFonts w:asciiTheme="majorHAnsi" w:hAnsiTheme="majorHAnsi" w:eastAsiaTheme="majorEastAsia" w:cstheme="majorBidi"/>
      <w:b/>
      <w:bCs/>
      <w:sz w:val="32"/>
      <w:szCs w:val="32"/>
    </w:rPr>
  </w:style>
  <w:style w:type="character" w:customStyle="1" w:styleId="23">
    <w:name w:val="副标题 Char"/>
    <w:basedOn w:val="15"/>
    <w:link w:val="10"/>
    <w:qFormat/>
    <w:uiPriority w:val="11"/>
    <w:rPr>
      <w:b/>
      <w:bCs/>
      <w:kern w:val="28"/>
      <w:sz w:val="32"/>
      <w:szCs w:val="32"/>
    </w:rPr>
  </w:style>
  <w:style w:type="character" w:customStyle="1" w:styleId="24">
    <w:name w:val="标题 3 Char"/>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Char"/>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28">
    <w:name w:val="标题 4 Char"/>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eastAsia="宋体" w:cs="Times New Roman"/>
      <w:color w:val="000000"/>
      <w:kern w:val="0"/>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B392EE-6E24-414D-8337-509FC122D41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9575</Words>
  <Characters>10120</Characters>
  <Lines>76</Lines>
  <Paragraphs>21</Paragraphs>
  <TotalTime>42</TotalTime>
  <ScaleCrop>false</ScaleCrop>
  <LinksUpToDate>false</LinksUpToDate>
  <CharactersWithSpaces>10215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2022-04-25T09:19:00Z</dcterms:created>
  <dc:creator>jc</dc:creator>
  <cp:lastModifiedBy>wq</cp:lastModifiedBy>
  <dcterms:modified xsi:type="dcterms:W3CDTF">2023-08-11T03:20:46Z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1E00B23A39ED470D8EAF0AB35FEA7E67</vt:lpwstr>
  </property>
</Properties>
</file>